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7BA" w:rsidRPr="00F13EBB" w:rsidRDefault="005C0335" w:rsidP="009235BD">
      <w:pPr>
        <w:spacing w:before="240" w:after="240" w:line="360" w:lineRule="auto"/>
        <w:jc w:val="both"/>
        <w:rPr>
          <w:rFonts w:ascii="Palatino Linotype" w:hAnsi="Palatino Linotype"/>
          <w:b/>
          <w:sz w:val="24"/>
          <w:szCs w:val="24"/>
        </w:rPr>
      </w:pPr>
      <w:r w:rsidRPr="00F13EBB">
        <w:rPr>
          <w:rFonts w:ascii="Palatino Linotype" w:hAnsi="Palatino Linotype"/>
          <w:b/>
          <w:sz w:val="24"/>
          <w:szCs w:val="24"/>
        </w:rPr>
        <w:t xml:space="preserve">VOTO </w:t>
      </w:r>
      <w:r w:rsidR="001521B7" w:rsidRPr="00F13EBB">
        <w:rPr>
          <w:rFonts w:ascii="Palatino Linotype" w:hAnsi="Palatino Linotype"/>
          <w:b/>
          <w:sz w:val="24"/>
          <w:szCs w:val="24"/>
        </w:rPr>
        <w:t>PARTICULAR QUE FORMULA</w:t>
      </w:r>
      <w:r w:rsidR="00C31D4A" w:rsidRPr="00F13EBB">
        <w:rPr>
          <w:rFonts w:ascii="Palatino Linotype" w:hAnsi="Palatino Linotype"/>
          <w:b/>
          <w:sz w:val="24"/>
          <w:szCs w:val="24"/>
        </w:rPr>
        <w:t xml:space="preserve"> </w:t>
      </w:r>
      <w:r w:rsidR="001521B7" w:rsidRPr="00F13EBB">
        <w:rPr>
          <w:rFonts w:ascii="Palatino Linotype" w:hAnsi="Palatino Linotype"/>
          <w:b/>
          <w:sz w:val="24"/>
          <w:szCs w:val="24"/>
        </w:rPr>
        <w:t xml:space="preserve">EL COMISIONADO JAVIER MARTÍNEZ CRUZ, EN RELACIÓN CON LA RESOLUCIÓN DICTADA POR EL PLENO DEL INSTITUTO DE TRANSPARENCIA, ACCESO A LA INFORMACIÓN PÚBLICA Y PROTECCIÓN DE DATOS PERSONALES DEL ESTADO DE MÉXICO Y MUNICIPIOS, EN LA </w:t>
      </w:r>
      <w:r w:rsidR="0022336C" w:rsidRPr="00F13EBB">
        <w:rPr>
          <w:rFonts w:ascii="Palatino Linotype" w:hAnsi="Palatino Linotype"/>
          <w:b/>
          <w:sz w:val="24"/>
          <w:szCs w:val="24"/>
        </w:rPr>
        <w:t>CUARTA</w:t>
      </w:r>
      <w:r w:rsidR="00564E98" w:rsidRPr="00F13EBB">
        <w:rPr>
          <w:rFonts w:ascii="Palatino Linotype" w:hAnsi="Palatino Linotype"/>
          <w:b/>
          <w:sz w:val="24"/>
          <w:szCs w:val="24"/>
        </w:rPr>
        <w:t xml:space="preserve"> </w:t>
      </w:r>
      <w:r w:rsidR="00C31D4A" w:rsidRPr="00F13EBB">
        <w:rPr>
          <w:rFonts w:ascii="Palatino Linotype" w:hAnsi="Palatino Linotype"/>
          <w:b/>
          <w:sz w:val="24"/>
          <w:szCs w:val="24"/>
        </w:rPr>
        <w:t>SES</w:t>
      </w:r>
      <w:r w:rsidR="001521B7" w:rsidRPr="00F13EBB">
        <w:rPr>
          <w:rFonts w:ascii="Palatino Linotype" w:hAnsi="Palatino Linotype"/>
          <w:b/>
          <w:sz w:val="24"/>
          <w:szCs w:val="24"/>
        </w:rPr>
        <w:t xml:space="preserve">IÓN ORDINARIA DEL </w:t>
      </w:r>
      <w:r w:rsidR="0022336C" w:rsidRPr="00F13EBB">
        <w:rPr>
          <w:rFonts w:ascii="Palatino Linotype" w:hAnsi="Palatino Linotype"/>
          <w:b/>
          <w:sz w:val="24"/>
          <w:szCs w:val="24"/>
        </w:rPr>
        <w:t>TREINTA</w:t>
      </w:r>
      <w:r w:rsidR="0078657F" w:rsidRPr="00F13EBB">
        <w:rPr>
          <w:rFonts w:ascii="Palatino Linotype" w:hAnsi="Palatino Linotype"/>
          <w:b/>
          <w:sz w:val="24"/>
          <w:szCs w:val="24"/>
        </w:rPr>
        <w:t xml:space="preserve"> </w:t>
      </w:r>
      <w:r w:rsidRPr="00F13EBB">
        <w:rPr>
          <w:rFonts w:ascii="Palatino Linotype" w:hAnsi="Palatino Linotype"/>
          <w:b/>
          <w:sz w:val="24"/>
          <w:szCs w:val="24"/>
        </w:rPr>
        <w:t xml:space="preserve">DE ENERO </w:t>
      </w:r>
      <w:r w:rsidR="00CC52C1" w:rsidRPr="00F13EBB">
        <w:rPr>
          <w:rFonts w:ascii="Palatino Linotype" w:hAnsi="Palatino Linotype"/>
          <w:b/>
          <w:sz w:val="24"/>
          <w:szCs w:val="24"/>
        </w:rPr>
        <w:t>DE DOS MIL DIECI</w:t>
      </w:r>
      <w:r w:rsidRPr="00F13EBB">
        <w:rPr>
          <w:rFonts w:ascii="Palatino Linotype" w:hAnsi="Palatino Linotype"/>
          <w:b/>
          <w:sz w:val="24"/>
          <w:szCs w:val="24"/>
        </w:rPr>
        <w:t>NUEVE</w:t>
      </w:r>
      <w:r w:rsidR="0038176F" w:rsidRPr="00F13EBB">
        <w:rPr>
          <w:rFonts w:ascii="Palatino Linotype" w:hAnsi="Palatino Linotype"/>
          <w:b/>
          <w:sz w:val="24"/>
          <w:szCs w:val="24"/>
        </w:rPr>
        <w:t>,</w:t>
      </w:r>
      <w:r w:rsidR="00A27FDF" w:rsidRPr="00F13EBB">
        <w:rPr>
          <w:rFonts w:ascii="Palatino Linotype" w:hAnsi="Palatino Linotype"/>
          <w:b/>
          <w:sz w:val="24"/>
          <w:szCs w:val="24"/>
        </w:rPr>
        <w:t xml:space="preserve"> EN EL RECURSO DE REVISIÓN </w:t>
      </w:r>
      <w:r w:rsidR="00ED32FF" w:rsidRPr="00F13EBB">
        <w:rPr>
          <w:rFonts w:ascii="Palatino Linotype" w:hAnsi="Palatino Linotype"/>
          <w:b/>
          <w:sz w:val="24"/>
          <w:szCs w:val="24"/>
        </w:rPr>
        <w:t>0</w:t>
      </w:r>
      <w:r w:rsidR="0022336C" w:rsidRPr="00F13EBB">
        <w:rPr>
          <w:rFonts w:ascii="Palatino Linotype" w:hAnsi="Palatino Linotype"/>
          <w:b/>
          <w:sz w:val="24"/>
          <w:szCs w:val="24"/>
        </w:rPr>
        <w:t>4295</w:t>
      </w:r>
      <w:r w:rsidR="0038176F" w:rsidRPr="00F13EBB">
        <w:rPr>
          <w:rFonts w:ascii="Palatino Linotype" w:hAnsi="Palatino Linotype"/>
          <w:b/>
          <w:sz w:val="24"/>
          <w:szCs w:val="24"/>
        </w:rPr>
        <w:t>/INFOEM/IP/RR/2018</w:t>
      </w:r>
      <w:r w:rsidR="001521B7" w:rsidRPr="00F13EBB">
        <w:rPr>
          <w:rFonts w:ascii="Palatino Linotype" w:hAnsi="Palatino Linotype"/>
          <w:b/>
          <w:sz w:val="24"/>
          <w:szCs w:val="24"/>
        </w:rPr>
        <w:t>.</w:t>
      </w:r>
      <w:bookmarkStart w:id="0" w:name="_GoBack"/>
      <w:bookmarkEnd w:id="0"/>
    </w:p>
    <w:p w:rsidR="003A047A" w:rsidRPr="00F13EBB" w:rsidRDefault="0037761D" w:rsidP="009235BD">
      <w:pPr>
        <w:spacing w:before="240" w:after="240" w:line="360" w:lineRule="auto"/>
        <w:jc w:val="both"/>
        <w:rPr>
          <w:rFonts w:ascii="Palatino Linotype" w:hAnsi="Palatino Linotype"/>
          <w:sz w:val="24"/>
          <w:szCs w:val="24"/>
        </w:rPr>
      </w:pPr>
      <w:r w:rsidRPr="00F13EBB">
        <w:rPr>
          <w:rFonts w:ascii="Palatino Linotype" w:hAnsi="Palatino Linotype"/>
          <w:sz w:val="24"/>
          <w:szCs w:val="24"/>
        </w:rPr>
        <w:t>El pleno del Instituto de Transparencia, Acceso a la Información Pública y Protección de Datos Personales del Estado de México y Municipios, aprobó por unanimidad de votos, la resolución relativa al recurso de revisión 0</w:t>
      </w:r>
      <w:r w:rsidR="005C0335" w:rsidRPr="00F13EBB">
        <w:rPr>
          <w:rFonts w:ascii="Palatino Linotype" w:hAnsi="Palatino Linotype"/>
          <w:sz w:val="24"/>
          <w:szCs w:val="24"/>
        </w:rPr>
        <w:t>4</w:t>
      </w:r>
      <w:r w:rsidR="0022336C" w:rsidRPr="00F13EBB">
        <w:rPr>
          <w:rFonts w:ascii="Palatino Linotype" w:hAnsi="Palatino Linotype"/>
          <w:sz w:val="24"/>
          <w:szCs w:val="24"/>
        </w:rPr>
        <w:t>295</w:t>
      </w:r>
      <w:r w:rsidRPr="00F13EBB">
        <w:rPr>
          <w:rFonts w:ascii="Palatino Linotype" w:hAnsi="Palatino Linotype"/>
          <w:sz w:val="24"/>
          <w:szCs w:val="24"/>
        </w:rPr>
        <w:t>/INFOEM/IP/RR/2018, presentada por l</w:t>
      </w:r>
      <w:r w:rsidR="0022336C" w:rsidRPr="00F13EBB">
        <w:rPr>
          <w:rFonts w:ascii="Palatino Linotype" w:hAnsi="Palatino Linotype"/>
          <w:sz w:val="24"/>
          <w:szCs w:val="24"/>
        </w:rPr>
        <w:t>a Comisionada Zulema Martínez Sánchez</w:t>
      </w:r>
      <w:r w:rsidRPr="00F13EBB">
        <w:rPr>
          <w:rFonts w:ascii="Palatino Linotype" w:hAnsi="Palatino Linotype"/>
          <w:sz w:val="24"/>
          <w:szCs w:val="24"/>
        </w:rPr>
        <w:t xml:space="preserve">, respecto de la cual, el suscrito formula </w:t>
      </w:r>
      <w:r w:rsidR="003B0E51" w:rsidRPr="00F13EBB">
        <w:rPr>
          <w:rFonts w:ascii="Palatino Linotype" w:hAnsi="Palatino Linotype"/>
          <w:b/>
          <w:sz w:val="24"/>
          <w:szCs w:val="24"/>
        </w:rPr>
        <w:t>VOTO</w:t>
      </w:r>
      <w:r w:rsidRPr="00F13EBB">
        <w:rPr>
          <w:rFonts w:ascii="Palatino Linotype" w:hAnsi="Palatino Linotype"/>
          <w:b/>
          <w:sz w:val="24"/>
          <w:szCs w:val="24"/>
        </w:rPr>
        <w:t xml:space="preserve"> PARTICULAR, </w:t>
      </w:r>
      <w:r w:rsidRPr="00F13EBB">
        <w:rPr>
          <w:rFonts w:ascii="Palatino Linotype" w:hAnsi="Palatino Linotype"/>
          <w:sz w:val="24"/>
          <w:szCs w:val="24"/>
        </w:rPr>
        <w:t xml:space="preserve"> con fundamento en el artículo 14 fracción XI del Reglamento Interior del Instituto de Transparencia, Acceso a la Información Pública y Protección de Datos Personales del Estado de México y Municipios.</w:t>
      </w:r>
    </w:p>
    <w:p w:rsidR="009E35A5" w:rsidRPr="00F13EBB" w:rsidRDefault="009E35A5" w:rsidP="009235BD">
      <w:pPr>
        <w:spacing w:before="240" w:after="240" w:line="360" w:lineRule="auto"/>
        <w:jc w:val="both"/>
        <w:rPr>
          <w:rFonts w:ascii="Palatino Linotype" w:hAnsi="Palatino Linotype"/>
          <w:sz w:val="24"/>
          <w:szCs w:val="24"/>
        </w:rPr>
      </w:pPr>
      <w:r w:rsidRPr="00F13EBB">
        <w:rPr>
          <w:rFonts w:ascii="Palatino Linotype" w:hAnsi="Palatino Linotype"/>
          <w:sz w:val="24"/>
          <w:szCs w:val="24"/>
        </w:rPr>
        <w:t xml:space="preserve">El que suscribe, comparte </w:t>
      </w:r>
      <w:r w:rsidR="009727E4" w:rsidRPr="00F13EBB">
        <w:rPr>
          <w:rFonts w:ascii="Palatino Linotype" w:hAnsi="Palatino Linotype"/>
          <w:sz w:val="24"/>
          <w:szCs w:val="24"/>
        </w:rPr>
        <w:t xml:space="preserve">en esencia </w:t>
      </w:r>
      <w:r w:rsidRPr="00F13EBB">
        <w:rPr>
          <w:rFonts w:ascii="Palatino Linotype" w:hAnsi="Palatino Linotype"/>
          <w:sz w:val="24"/>
          <w:szCs w:val="24"/>
        </w:rPr>
        <w:t xml:space="preserve">el sentido </w:t>
      </w:r>
      <w:r w:rsidR="009727E4" w:rsidRPr="00F13EBB">
        <w:rPr>
          <w:rFonts w:ascii="Palatino Linotype" w:hAnsi="Palatino Linotype"/>
          <w:sz w:val="24"/>
          <w:szCs w:val="24"/>
        </w:rPr>
        <w:t>del estudio realizad</w:t>
      </w:r>
      <w:r w:rsidR="0037761D" w:rsidRPr="00F13EBB">
        <w:rPr>
          <w:rFonts w:ascii="Palatino Linotype" w:hAnsi="Palatino Linotype"/>
          <w:sz w:val="24"/>
          <w:szCs w:val="24"/>
        </w:rPr>
        <w:t xml:space="preserve">o en la resolución emitida por </w:t>
      </w:r>
      <w:r w:rsidR="009727E4" w:rsidRPr="00F13EBB">
        <w:rPr>
          <w:rFonts w:ascii="Palatino Linotype" w:hAnsi="Palatino Linotype"/>
          <w:sz w:val="24"/>
          <w:szCs w:val="24"/>
        </w:rPr>
        <w:t>l</w:t>
      </w:r>
      <w:r w:rsidR="00CB2695" w:rsidRPr="00F13EBB">
        <w:rPr>
          <w:rFonts w:ascii="Palatino Linotype" w:hAnsi="Palatino Linotype"/>
          <w:sz w:val="24"/>
          <w:szCs w:val="24"/>
        </w:rPr>
        <w:t>a Comisionada</w:t>
      </w:r>
      <w:r w:rsidR="009727E4" w:rsidRPr="00F13EBB">
        <w:rPr>
          <w:rFonts w:ascii="Palatino Linotype" w:hAnsi="Palatino Linotype"/>
          <w:sz w:val="24"/>
          <w:szCs w:val="24"/>
        </w:rPr>
        <w:t xml:space="preserve"> Ponente; </w:t>
      </w:r>
      <w:r w:rsidRPr="00F13EBB">
        <w:rPr>
          <w:rFonts w:ascii="Palatino Linotype" w:hAnsi="Palatino Linotype"/>
          <w:sz w:val="24"/>
          <w:szCs w:val="24"/>
        </w:rPr>
        <w:t>sin embargo, resulta necesario destacar ciertas precisiones que debieron ser valoradas y expresadas en el análisis de la resolución.</w:t>
      </w:r>
    </w:p>
    <w:p w:rsidR="00222414" w:rsidRPr="00F13EBB" w:rsidRDefault="00107497" w:rsidP="009235BD">
      <w:pPr>
        <w:spacing w:before="240" w:after="240" w:line="360" w:lineRule="auto"/>
        <w:jc w:val="both"/>
        <w:rPr>
          <w:rFonts w:ascii="Palatino Linotype" w:hAnsi="Palatino Linotype"/>
          <w:sz w:val="24"/>
          <w:szCs w:val="24"/>
        </w:rPr>
      </w:pPr>
      <w:r w:rsidRPr="00F13EBB">
        <w:rPr>
          <w:rFonts w:ascii="Palatino Linotype" w:hAnsi="Palatino Linotype"/>
          <w:sz w:val="24"/>
          <w:szCs w:val="24"/>
        </w:rPr>
        <w:t>En el caso concreto el</w:t>
      </w:r>
      <w:r w:rsidR="00E01A6B" w:rsidRPr="00F13EBB">
        <w:rPr>
          <w:rFonts w:ascii="Palatino Linotype" w:hAnsi="Palatino Linotype"/>
          <w:sz w:val="24"/>
          <w:szCs w:val="24"/>
        </w:rPr>
        <w:t xml:space="preserve"> hoy R</w:t>
      </w:r>
      <w:r w:rsidR="00BD44F6" w:rsidRPr="00F13EBB">
        <w:rPr>
          <w:rFonts w:ascii="Palatino Linotype" w:hAnsi="Palatino Linotype"/>
          <w:sz w:val="24"/>
          <w:szCs w:val="24"/>
        </w:rPr>
        <w:t xml:space="preserve">ecurrente </w:t>
      </w:r>
      <w:r w:rsidR="00013E83" w:rsidRPr="00F13EBB">
        <w:rPr>
          <w:rFonts w:ascii="Palatino Linotype" w:hAnsi="Palatino Linotype"/>
          <w:sz w:val="24"/>
          <w:szCs w:val="24"/>
        </w:rPr>
        <w:t xml:space="preserve">requirió </w:t>
      </w:r>
      <w:r w:rsidR="00421A25" w:rsidRPr="00F13EBB">
        <w:rPr>
          <w:rFonts w:ascii="Palatino Linotype" w:hAnsi="Palatino Linotype"/>
          <w:sz w:val="24"/>
          <w:szCs w:val="24"/>
        </w:rPr>
        <w:t>a</w:t>
      </w:r>
      <w:r w:rsidR="00CB2695" w:rsidRPr="00F13EBB">
        <w:rPr>
          <w:rFonts w:ascii="Palatino Linotype" w:hAnsi="Palatino Linotype"/>
          <w:sz w:val="24"/>
          <w:szCs w:val="24"/>
        </w:rPr>
        <w:t xml:space="preserve"> </w:t>
      </w:r>
      <w:r w:rsidR="00421A25" w:rsidRPr="00F13EBB">
        <w:rPr>
          <w:rFonts w:ascii="Palatino Linotype" w:hAnsi="Palatino Linotype"/>
          <w:sz w:val="24"/>
          <w:szCs w:val="24"/>
        </w:rPr>
        <w:t>l</w:t>
      </w:r>
      <w:r w:rsidR="00CB2695" w:rsidRPr="00F13EBB">
        <w:rPr>
          <w:rFonts w:ascii="Palatino Linotype" w:hAnsi="Palatino Linotype"/>
          <w:sz w:val="24"/>
          <w:szCs w:val="24"/>
        </w:rPr>
        <w:t xml:space="preserve">os Servicios Educativos Integrados </w:t>
      </w:r>
      <w:proofErr w:type="gramStart"/>
      <w:r w:rsidR="00CB2695" w:rsidRPr="00F13EBB">
        <w:rPr>
          <w:rFonts w:ascii="Palatino Linotype" w:hAnsi="Palatino Linotype"/>
          <w:sz w:val="24"/>
          <w:szCs w:val="24"/>
        </w:rPr>
        <w:t>al</w:t>
      </w:r>
      <w:proofErr w:type="gramEnd"/>
      <w:r w:rsidR="00CB2695" w:rsidRPr="00F13EBB">
        <w:rPr>
          <w:rFonts w:ascii="Palatino Linotype" w:hAnsi="Palatino Linotype"/>
          <w:sz w:val="24"/>
          <w:szCs w:val="24"/>
        </w:rPr>
        <w:t xml:space="preserve"> Estado de México, </w:t>
      </w:r>
      <w:r w:rsidR="00013E83" w:rsidRPr="00F13EBB">
        <w:rPr>
          <w:rFonts w:ascii="Palatino Linotype" w:hAnsi="Palatino Linotype"/>
          <w:sz w:val="24"/>
          <w:szCs w:val="24"/>
        </w:rPr>
        <w:t xml:space="preserve">se le proporcionara la información </w:t>
      </w:r>
      <w:r w:rsidRPr="00F13EBB">
        <w:rPr>
          <w:rFonts w:ascii="Palatino Linotype" w:hAnsi="Palatino Linotype"/>
          <w:sz w:val="24"/>
          <w:szCs w:val="24"/>
        </w:rPr>
        <w:t xml:space="preserve">consistente </w:t>
      </w:r>
      <w:r w:rsidR="00222414" w:rsidRPr="00F13EBB">
        <w:rPr>
          <w:rFonts w:ascii="Palatino Linotype" w:hAnsi="Palatino Linotype"/>
          <w:sz w:val="24"/>
          <w:szCs w:val="24"/>
        </w:rPr>
        <w:t>en lo siguiente:</w:t>
      </w:r>
    </w:p>
    <w:p w:rsidR="00222414" w:rsidRPr="00F13EBB" w:rsidRDefault="00222414" w:rsidP="00222414">
      <w:pPr>
        <w:tabs>
          <w:tab w:val="left" w:pos="9072"/>
        </w:tabs>
        <w:spacing w:line="240" w:lineRule="auto"/>
        <w:ind w:left="851" w:right="284"/>
        <w:jc w:val="both"/>
        <w:rPr>
          <w:rFonts w:ascii="Palatino Linotype" w:hAnsi="Palatino Linotype"/>
          <w:i/>
          <w:lang w:val="es-ES_tradnl"/>
        </w:rPr>
      </w:pPr>
      <w:r w:rsidRPr="00F13EBB">
        <w:rPr>
          <w:rFonts w:ascii="Palatino Linotype" w:hAnsi="Palatino Linotype"/>
          <w:i/>
          <w:lang w:val="es-ES_tradnl"/>
        </w:rPr>
        <w:lastRenderedPageBreak/>
        <w:t>“</w:t>
      </w:r>
      <w:r w:rsidRPr="00F13EBB">
        <w:rPr>
          <w:rFonts w:ascii="Palatino Linotype" w:hAnsi="Palatino Linotype"/>
          <w:i/>
        </w:rPr>
        <w:t xml:space="preserve">Solicito documento que acredite las definiciones y propuestas elaboradas para la Dirección de Servicios relativos a realizar medidas conducentes para agilizar los sistemas y procesos. Solicito documento donde se determine las necesidades de actualización y capacitación del personal en materia de Planeación Educativa, así como la relación de servidores públicos que se han capacitado. Solicito documento que acredite la cuantificación y demanda de servicios educativos que prestan las subdirecciones para la elaboración de proyectos de ampliación, sustitución y creación de planteles educativos. Solicito documento de resultado de la evaluación de desempeño de proyectos y procesos en materia de planeación, programación, </w:t>
      </w:r>
      <w:proofErr w:type="spellStart"/>
      <w:r w:rsidRPr="00F13EBB">
        <w:rPr>
          <w:rFonts w:ascii="Palatino Linotype" w:hAnsi="Palatino Linotype"/>
          <w:i/>
        </w:rPr>
        <w:t>presupuestación</w:t>
      </w:r>
      <w:proofErr w:type="spellEnd"/>
      <w:r w:rsidRPr="00F13EBB">
        <w:rPr>
          <w:rFonts w:ascii="Palatino Linotype" w:hAnsi="Palatino Linotype"/>
          <w:i/>
        </w:rPr>
        <w:t>, administración escolar, capacitación estadística e informática. Lo anterior relativo al Departamento de Apoyo Técnico dependiente de la Dirección de Servicios Regionalizados en un periodo comprendido del año 2000 al 2018</w:t>
      </w:r>
      <w:r w:rsidRPr="00F13EBB">
        <w:rPr>
          <w:rFonts w:ascii="Palatino Linotype" w:hAnsi="Palatino Linotype"/>
          <w:i/>
          <w:lang w:val="es-ES_tradnl"/>
        </w:rPr>
        <w:t>.” [Sic]</w:t>
      </w:r>
    </w:p>
    <w:p w:rsidR="0050583D" w:rsidRPr="00F13EBB" w:rsidRDefault="00222414" w:rsidP="00F340FC">
      <w:pPr>
        <w:spacing w:line="360" w:lineRule="auto"/>
        <w:jc w:val="both"/>
        <w:rPr>
          <w:rFonts w:ascii="Palatino Linotype" w:hAnsi="Palatino Linotype"/>
          <w:sz w:val="24"/>
          <w:szCs w:val="24"/>
        </w:rPr>
      </w:pPr>
      <w:r w:rsidRPr="00F13EBB">
        <w:rPr>
          <w:rFonts w:ascii="Palatino Linotype" w:hAnsi="Palatino Linotype"/>
          <w:sz w:val="24"/>
          <w:szCs w:val="24"/>
        </w:rPr>
        <w:t xml:space="preserve">En respuesta el Titular de la </w:t>
      </w:r>
      <w:r w:rsidR="00421A25" w:rsidRPr="00F13EBB">
        <w:rPr>
          <w:rFonts w:ascii="Palatino Linotype" w:hAnsi="Palatino Linotype"/>
          <w:sz w:val="24"/>
          <w:szCs w:val="24"/>
        </w:rPr>
        <w:t xml:space="preserve">Unidad de </w:t>
      </w:r>
      <w:r w:rsidR="009235BD" w:rsidRPr="00F13EBB">
        <w:rPr>
          <w:rFonts w:ascii="Palatino Linotype" w:hAnsi="Palatino Linotype"/>
          <w:sz w:val="24"/>
          <w:szCs w:val="24"/>
        </w:rPr>
        <w:t>Transparencia del Sujeto Obligado,</w:t>
      </w:r>
      <w:r w:rsidR="00421A25" w:rsidRPr="00F13EBB">
        <w:rPr>
          <w:rFonts w:ascii="Palatino Linotype" w:hAnsi="Palatino Linotype"/>
          <w:sz w:val="24"/>
          <w:szCs w:val="24"/>
        </w:rPr>
        <w:t xml:space="preserve"> proporcionó </w:t>
      </w:r>
      <w:r w:rsidR="0045617C" w:rsidRPr="00F13EBB">
        <w:rPr>
          <w:rFonts w:ascii="Palatino Linotype" w:hAnsi="Palatino Linotype"/>
          <w:sz w:val="24"/>
          <w:szCs w:val="24"/>
        </w:rPr>
        <w:t xml:space="preserve">el archivo electrónico </w:t>
      </w:r>
      <w:r w:rsidR="0045617C" w:rsidRPr="00F13EBB">
        <w:rPr>
          <w:rFonts w:ascii="Palatino Linotype" w:hAnsi="Palatino Linotype"/>
          <w:i/>
          <w:sz w:val="24"/>
          <w:szCs w:val="24"/>
        </w:rPr>
        <w:t>“</w:t>
      </w:r>
      <w:hyperlink r:id="rId8" w:tgtFrame="_blank" w:history="1">
        <w:r w:rsidR="0045617C" w:rsidRPr="00F13EBB">
          <w:rPr>
            <w:rFonts w:ascii="Palatino Linotype" w:hAnsi="Palatino Linotype"/>
            <w:i/>
            <w:sz w:val="24"/>
            <w:szCs w:val="24"/>
          </w:rPr>
          <w:t>Sol 0193IP2018.pdf</w:t>
        </w:r>
      </w:hyperlink>
      <w:r w:rsidR="0045617C" w:rsidRPr="00F13EBB">
        <w:rPr>
          <w:rFonts w:ascii="Palatino Linotype" w:hAnsi="Palatino Linotype"/>
          <w:i/>
          <w:sz w:val="24"/>
          <w:szCs w:val="24"/>
        </w:rPr>
        <w:t xml:space="preserve">”, </w:t>
      </w:r>
      <w:r w:rsidR="0050583D" w:rsidRPr="00F13EBB">
        <w:rPr>
          <w:rFonts w:ascii="Palatino Linotype" w:hAnsi="Palatino Linotype"/>
          <w:sz w:val="24"/>
          <w:szCs w:val="24"/>
        </w:rPr>
        <w:t xml:space="preserve">mediante el cual refirió de manera sucinta, a través del Departamento de Apoyo Técnico dependiente de la Dirección de Servicios Regionalizados,  que no se contaba con documentos que acreditan lo solicitado, agregando que lo requerido se encuentra contenido en las funciones que marca el Manual General de Organización de Servicios Educativos Integrados al Estado de México al Departamento de Apoyo Técnico, sin embargo de 2013 a la fecha, no se han llevado a cabo –las funciones-. En cuanto a los años anteriores, se desconoce la existencia de la información solicitada, toda vez que de conformidad con el artículo 27 fracción I de los Lineamientos para la Valoración, Selección y Baja de Documentos, Expedientes y Series de Trámite Concluido en los Archivos del Estado de México, el plazo </w:t>
      </w:r>
      <w:proofErr w:type="spellStart"/>
      <w:r w:rsidR="0050583D" w:rsidRPr="00F13EBB">
        <w:rPr>
          <w:rFonts w:ascii="Palatino Linotype" w:hAnsi="Palatino Linotype"/>
          <w:sz w:val="24"/>
          <w:szCs w:val="24"/>
        </w:rPr>
        <w:t>precaucional</w:t>
      </w:r>
      <w:proofErr w:type="spellEnd"/>
      <w:r w:rsidR="0050583D" w:rsidRPr="00F13EBB">
        <w:rPr>
          <w:rFonts w:ascii="Palatino Linotype" w:hAnsi="Palatino Linotype"/>
          <w:sz w:val="24"/>
          <w:szCs w:val="24"/>
        </w:rPr>
        <w:t xml:space="preserve"> para la conservación en el Archivo de concentración de los expedientes de trámite concluido, es de seis años.</w:t>
      </w:r>
    </w:p>
    <w:p w:rsidR="0050583D" w:rsidRPr="00F13EBB" w:rsidRDefault="0050583D" w:rsidP="00F340FC">
      <w:pPr>
        <w:spacing w:line="360" w:lineRule="auto"/>
        <w:jc w:val="both"/>
        <w:rPr>
          <w:rFonts w:ascii="Palatino Linotype" w:hAnsi="Palatino Linotype"/>
          <w:sz w:val="24"/>
          <w:szCs w:val="24"/>
        </w:rPr>
      </w:pPr>
    </w:p>
    <w:p w:rsidR="009235BD" w:rsidRPr="00F13EBB" w:rsidRDefault="0050583D" w:rsidP="009235BD">
      <w:pPr>
        <w:spacing w:before="240" w:after="240" w:line="360" w:lineRule="auto"/>
        <w:jc w:val="both"/>
        <w:rPr>
          <w:rFonts w:ascii="Palatino Linotype" w:hAnsi="Palatino Linotype"/>
          <w:sz w:val="24"/>
          <w:szCs w:val="24"/>
        </w:rPr>
      </w:pPr>
      <w:r w:rsidRPr="00F13EBB">
        <w:rPr>
          <w:rFonts w:ascii="Palatino Linotype" w:hAnsi="Palatino Linotype"/>
          <w:sz w:val="24"/>
          <w:szCs w:val="24"/>
        </w:rPr>
        <w:lastRenderedPageBreak/>
        <w:t>Así, u</w:t>
      </w:r>
      <w:r w:rsidR="009235BD" w:rsidRPr="00F13EBB">
        <w:rPr>
          <w:rFonts w:ascii="Palatino Linotype" w:hAnsi="Palatino Linotype"/>
          <w:sz w:val="24"/>
          <w:szCs w:val="24"/>
        </w:rPr>
        <w:t xml:space="preserve">na vez conocida la respuesta del sujeto obligado, al no </w:t>
      </w:r>
      <w:r w:rsidR="00BE3E12" w:rsidRPr="00F13EBB">
        <w:rPr>
          <w:rFonts w:ascii="Palatino Linotype" w:hAnsi="Palatino Linotype"/>
          <w:sz w:val="24"/>
          <w:szCs w:val="24"/>
        </w:rPr>
        <w:t>estar conforme la</w:t>
      </w:r>
      <w:r w:rsidR="009235BD" w:rsidRPr="00F13EBB">
        <w:rPr>
          <w:rFonts w:ascii="Palatino Linotype" w:hAnsi="Palatino Linotype"/>
          <w:sz w:val="24"/>
          <w:szCs w:val="24"/>
        </w:rPr>
        <w:t xml:space="preserve"> particular con los términos de la misma, interpone el recurso de revisión que se resuelve a través de la resolución dictada por este Órgano Garante, manifestando como acto impugnado y motivos de inconformidad, lo siguiente:</w:t>
      </w:r>
    </w:p>
    <w:p w:rsidR="009235BD" w:rsidRPr="00F13EBB" w:rsidRDefault="009235BD" w:rsidP="00537B54">
      <w:pPr>
        <w:spacing w:before="240" w:after="240" w:line="240" w:lineRule="auto"/>
        <w:ind w:left="567" w:right="567"/>
        <w:jc w:val="both"/>
        <w:rPr>
          <w:rFonts w:ascii="Palatino Linotype" w:eastAsia="Calibri" w:hAnsi="Palatino Linotype" w:cs="Tahoma"/>
          <w:b/>
          <w:bCs/>
          <w:i/>
        </w:rPr>
      </w:pPr>
      <w:r w:rsidRPr="00F13EBB">
        <w:rPr>
          <w:rFonts w:ascii="Palatino Linotype" w:eastAsia="Calibri" w:hAnsi="Palatino Linotype" w:cs="Tahoma"/>
          <w:b/>
          <w:bCs/>
          <w:i/>
        </w:rPr>
        <w:t>“ACTO IMPUGNADO</w:t>
      </w:r>
    </w:p>
    <w:p w:rsidR="0050583D" w:rsidRPr="00F13EBB" w:rsidRDefault="0050583D" w:rsidP="0050583D">
      <w:pPr>
        <w:tabs>
          <w:tab w:val="left" w:pos="9072"/>
        </w:tabs>
        <w:spacing w:after="0" w:line="360" w:lineRule="auto"/>
        <w:ind w:left="851" w:right="284"/>
        <w:jc w:val="both"/>
        <w:rPr>
          <w:rFonts w:ascii="Palatino Linotype" w:hAnsi="Palatino Linotype" w:cs="Arial"/>
          <w:i/>
        </w:rPr>
      </w:pPr>
      <w:r w:rsidRPr="00F13EBB">
        <w:rPr>
          <w:rFonts w:ascii="Palatino Linotype" w:hAnsi="Palatino Linotype"/>
          <w:i/>
        </w:rPr>
        <w:t>“La declaración de inexistencia de la información”</w:t>
      </w:r>
    </w:p>
    <w:p w:rsidR="009235BD" w:rsidRPr="00F13EBB" w:rsidRDefault="009235BD" w:rsidP="00537B54">
      <w:pPr>
        <w:spacing w:before="240" w:after="240" w:line="240" w:lineRule="auto"/>
        <w:ind w:left="567" w:right="567"/>
        <w:jc w:val="both"/>
        <w:rPr>
          <w:rFonts w:ascii="Palatino Linotype" w:eastAsia="Calibri" w:hAnsi="Palatino Linotype" w:cs="Tahoma"/>
          <w:b/>
          <w:bCs/>
          <w:i/>
          <w:lang w:val="es-ES"/>
        </w:rPr>
      </w:pPr>
      <w:r w:rsidRPr="00F13EBB">
        <w:rPr>
          <w:rFonts w:ascii="Palatino Linotype" w:eastAsia="Calibri" w:hAnsi="Palatino Linotype" w:cs="Tahoma"/>
          <w:b/>
          <w:bCs/>
          <w:i/>
          <w:lang w:val="es-ES"/>
        </w:rPr>
        <w:t>RAZONES O MOTIVOS DE LA INCONFORMIDAD</w:t>
      </w:r>
    </w:p>
    <w:p w:rsidR="009235BD" w:rsidRPr="00F13EBB" w:rsidRDefault="0050583D" w:rsidP="0050583D">
      <w:pPr>
        <w:tabs>
          <w:tab w:val="left" w:pos="9072"/>
        </w:tabs>
        <w:spacing w:after="0" w:line="240" w:lineRule="auto"/>
        <w:ind w:left="567" w:right="284"/>
        <w:jc w:val="both"/>
        <w:rPr>
          <w:rFonts w:ascii="Palatino Linotype" w:hAnsi="Palatino Linotype"/>
          <w:i/>
        </w:rPr>
      </w:pPr>
      <w:r w:rsidRPr="00F13EBB">
        <w:rPr>
          <w:rFonts w:ascii="Palatino Linotype" w:hAnsi="Palatino Linotype" w:cs="Arial"/>
          <w:i/>
        </w:rPr>
        <w:t xml:space="preserve">“El Sujeto Obligado no funda, motiva ni justifica la omisión de no tener la información requerida, sin embargo, acepta que lo solicitado está dentro de su marco regulatorio. “ </w:t>
      </w:r>
    </w:p>
    <w:p w:rsidR="00A724E0" w:rsidRPr="00F13EBB" w:rsidRDefault="00990C19" w:rsidP="00A724E0">
      <w:pPr>
        <w:spacing w:before="240" w:after="240" w:line="360" w:lineRule="auto"/>
        <w:jc w:val="both"/>
        <w:rPr>
          <w:rFonts w:ascii="Palatino Linotype" w:hAnsi="Palatino Linotype"/>
          <w:sz w:val="24"/>
          <w:szCs w:val="24"/>
        </w:rPr>
      </w:pPr>
      <w:r w:rsidRPr="00F13EBB">
        <w:rPr>
          <w:rFonts w:ascii="Palatino Linotype" w:hAnsi="Palatino Linotype"/>
          <w:sz w:val="24"/>
          <w:szCs w:val="24"/>
        </w:rPr>
        <w:t>Por su parte el Sujeto Obligado, en el plazo de siete días hábiles previsto en la Ley de Transparencia y Acceso a la Información Pública del Estado de México y Municipios para manifestar lo que al derecho de las partes conviniera</w:t>
      </w:r>
      <w:r w:rsidR="0050583D" w:rsidRPr="00F13EBB">
        <w:rPr>
          <w:rFonts w:ascii="Palatino Linotype" w:hAnsi="Palatino Linotype"/>
          <w:sz w:val="24"/>
          <w:szCs w:val="24"/>
        </w:rPr>
        <w:t xml:space="preserve">, </w:t>
      </w:r>
      <w:r w:rsidR="00A724E0" w:rsidRPr="00F13EBB">
        <w:rPr>
          <w:rFonts w:ascii="Palatino Linotype" w:hAnsi="Palatino Linotype"/>
          <w:sz w:val="24"/>
          <w:szCs w:val="24"/>
        </w:rPr>
        <w:t xml:space="preserve">en fecha </w:t>
      </w:r>
      <w:proofErr w:type="spellStart"/>
      <w:r w:rsidR="00A724E0" w:rsidRPr="00F13EBB">
        <w:rPr>
          <w:rFonts w:ascii="Palatino Linotype" w:hAnsi="Palatino Linotype"/>
          <w:sz w:val="24"/>
          <w:szCs w:val="24"/>
        </w:rPr>
        <w:t>veintrés</w:t>
      </w:r>
      <w:proofErr w:type="spellEnd"/>
      <w:r w:rsidR="00A724E0" w:rsidRPr="00F13EBB">
        <w:rPr>
          <w:rFonts w:ascii="Palatino Linotype" w:hAnsi="Palatino Linotype"/>
          <w:sz w:val="24"/>
          <w:szCs w:val="24"/>
        </w:rPr>
        <w:t xml:space="preserve"> de noviembre de dos mil dieciocho </w:t>
      </w:r>
      <w:r w:rsidR="0050583D" w:rsidRPr="00F13EBB">
        <w:rPr>
          <w:rFonts w:ascii="Palatino Linotype" w:hAnsi="Palatino Linotype"/>
          <w:sz w:val="24"/>
          <w:szCs w:val="24"/>
        </w:rPr>
        <w:t xml:space="preserve">emitió su informe justificado </w:t>
      </w:r>
      <w:r w:rsidR="00A724E0" w:rsidRPr="00F13EBB">
        <w:rPr>
          <w:rFonts w:ascii="Palatino Linotype" w:hAnsi="Palatino Linotype"/>
          <w:sz w:val="24"/>
          <w:szCs w:val="24"/>
        </w:rPr>
        <w:t>mismo que se hizo del conocimiento del recurrente, a efecto de que presentara sus manifestaciones, haciéndolo en fecha treinta de noviembre de dos mil dieciocho.</w:t>
      </w:r>
    </w:p>
    <w:p w:rsidR="00A724E0" w:rsidRPr="00F13EBB" w:rsidRDefault="00A724E0" w:rsidP="00A724E0">
      <w:pPr>
        <w:tabs>
          <w:tab w:val="left" w:pos="709"/>
          <w:tab w:val="left" w:pos="9072"/>
        </w:tabs>
        <w:spacing w:line="360" w:lineRule="auto"/>
        <w:ind w:right="-3"/>
        <w:jc w:val="both"/>
        <w:rPr>
          <w:rFonts w:ascii="Palatino Linotype" w:hAnsi="Palatino Linotype" w:cs="Arial"/>
          <w:sz w:val="24"/>
          <w:szCs w:val="24"/>
        </w:rPr>
      </w:pPr>
      <w:r w:rsidRPr="00F13EBB">
        <w:rPr>
          <w:rFonts w:ascii="Palatino Linotype" w:hAnsi="Palatino Linotype" w:cs="Arial"/>
          <w:sz w:val="24"/>
          <w:szCs w:val="24"/>
          <w:lang w:val="es-ES_tradnl"/>
        </w:rPr>
        <w:t xml:space="preserve">Finalmente, la Ponencia resolvió </w:t>
      </w:r>
      <w:r w:rsidRPr="00F13EBB">
        <w:rPr>
          <w:rFonts w:ascii="Palatino Linotype" w:hAnsi="Palatino Linotype" w:cs="Arial"/>
          <w:b/>
          <w:sz w:val="24"/>
          <w:szCs w:val="24"/>
          <w:lang w:val="es-ES_tradnl"/>
        </w:rPr>
        <w:t>revocar</w:t>
      </w:r>
      <w:r w:rsidRPr="00F13EBB">
        <w:rPr>
          <w:rFonts w:ascii="Palatino Linotype" w:hAnsi="Palatino Linotype" w:cs="Arial"/>
          <w:sz w:val="24"/>
          <w:szCs w:val="24"/>
          <w:lang w:val="es-ES_tradnl"/>
        </w:rPr>
        <w:t xml:space="preserve"> la respuesta del Sujeto Obligado y ordenó en su resolutivo SEGUNDO, entregar vía el SAIMEX, previa búsqueda exhaustiva y razonable, la versión pública de los documentos en donde conste o se pueda advertir: 1. </w:t>
      </w:r>
      <w:r w:rsidRPr="00F13EBB">
        <w:rPr>
          <w:rFonts w:ascii="Palatino Linotype" w:hAnsi="Palatino Linotype" w:cs="Arial"/>
          <w:sz w:val="24"/>
          <w:szCs w:val="24"/>
        </w:rPr>
        <w:t xml:space="preserve">La acreditación de las definiciones y propuestas elaboradas para la Dirección de Servicios relativos a realizar medidas conducentes para agilizar los sistemas y </w:t>
      </w:r>
      <w:r w:rsidRPr="00F13EBB">
        <w:rPr>
          <w:rFonts w:ascii="Palatino Linotype" w:hAnsi="Palatino Linotype" w:cs="Arial"/>
          <w:sz w:val="24"/>
          <w:szCs w:val="24"/>
        </w:rPr>
        <w:lastRenderedPageBreak/>
        <w:t xml:space="preserve">procesos, por el periodo que va del año dos mil al año dos mil doce. 2. Las necesidades de actualización y capacitación del personal en materia de Planeación educativa y la relación de los Servidores Públicos que se han capacitado, por el periodo que va del año dos mil al año dos mil doce. 3. La cuantificación y demanda de servicios educativos que prestan las subdirecciones para la elaboración de proyectos de ampliación, sustitución y creación de planteles educativos, por el periodo que va del año dos mil al año dos mil doce. 4 La evaluación de desempeño de proyectos y procesos en materia de planeación, programación, </w:t>
      </w:r>
      <w:proofErr w:type="spellStart"/>
      <w:r w:rsidRPr="00F13EBB">
        <w:rPr>
          <w:rFonts w:ascii="Palatino Linotype" w:hAnsi="Palatino Linotype" w:cs="Arial"/>
          <w:sz w:val="24"/>
          <w:szCs w:val="24"/>
        </w:rPr>
        <w:t>presupuestación</w:t>
      </w:r>
      <w:proofErr w:type="spellEnd"/>
      <w:r w:rsidRPr="00F13EBB">
        <w:rPr>
          <w:rFonts w:ascii="Palatino Linotype" w:hAnsi="Palatino Linotype" w:cs="Arial"/>
          <w:sz w:val="24"/>
          <w:szCs w:val="24"/>
        </w:rPr>
        <w:t>, administración escolar, capacitación estadística e informática, por el periodo que va del año dos mil al año dos mil doce.</w:t>
      </w:r>
    </w:p>
    <w:p w:rsidR="00A724E0" w:rsidRPr="00F13EBB" w:rsidRDefault="00A724E0" w:rsidP="00A724E0">
      <w:pPr>
        <w:spacing w:before="120" w:line="360" w:lineRule="auto"/>
        <w:jc w:val="both"/>
        <w:rPr>
          <w:rFonts w:ascii="Palatino Linotype" w:hAnsi="Palatino Linotype" w:cs="Arial"/>
          <w:sz w:val="24"/>
          <w:szCs w:val="24"/>
        </w:rPr>
      </w:pPr>
      <w:r w:rsidRPr="00F13EBB">
        <w:rPr>
          <w:rFonts w:ascii="Palatino Linotype" w:hAnsi="Palatino Linotype" w:cs="Arial"/>
          <w:sz w:val="24"/>
          <w:szCs w:val="24"/>
        </w:rPr>
        <w:t>Determinación con la que el suscrito está de acuerdo, no obstante, se agregó al citado resolutivo la siguiente salvedad:</w:t>
      </w:r>
    </w:p>
    <w:p w:rsidR="00A724E0" w:rsidRPr="00F13EBB" w:rsidRDefault="00A724E0" w:rsidP="00A724E0">
      <w:pPr>
        <w:spacing w:after="0" w:line="240" w:lineRule="auto"/>
        <w:ind w:left="567" w:right="561"/>
        <w:jc w:val="both"/>
        <w:rPr>
          <w:rFonts w:ascii="Palatino Linotype" w:eastAsia="Times New Roman" w:hAnsi="Palatino Linotype" w:cs="Arial"/>
          <w:i/>
          <w:sz w:val="24"/>
          <w:szCs w:val="24"/>
          <w:lang w:val="es-ES" w:eastAsia="es-ES"/>
        </w:rPr>
      </w:pPr>
      <w:r w:rsidRPr="00F13EBB">
        <w:rPr>
          <w:rFonts w:ascii="Palatino Linotype" w:eastAsia="Times New Roman" w:hAnsi="Palatino Linotype" w:cs="Arial"/>
          <w:i/>
          <w:sz w:val="24"/>
          <w:szCs w:val="24"/>
          <w:lang w:val="es-ES" w:eastAsia="es-ES"/>
        </w:rPr>
        <w:t xml:space="preserve">“En el caso de que, derivado de la búsqueda exhaustiva resulte imposible localizar los documentos de los que se ordena la entrega en los puntos 1 al 4 que anteceden, debido a que feneció el plazo de conservación </w:t>
      </w:r>
      <w:proofErr w:type="spellStart"/>
      <w:r w:rsidRPr="00F13EBB">
        <w:rPr>
          <w:rFonts w:ascii="Palatino Linotype" w:eastAsia="Times New Roman" w:hAnsi="Palatino Linotype" w:cs="Arial"/>
          <w:i/>
          <w:sz w:val="24"/>
          <w:szCs w:val="24"/>
          <w:lang w:val="es-ES" w:eastAsia="es-ES"/>
        </w:rPr>
        <w:t>precaucional</w:t>
      </w:r>
      <w:proofErr w:type="spellEnd"/>
      <w:r w:rsidRPr="00F13EBB">
        <w:rPr>
          <w:rFonts w:ascii="Palatino Linotype" w:eastAsia="Times New Roman" w:hAnsi="Palatino Linotype" w:cs="Arial"/>
          <w:i/>
          <w:sz w:val="24"/>
          <w:szCs w:val="24"/>
          <w:lang w:val="es-ES" w:eastAsia="es-ES"/>
        </w:rPr>
        <w:t xml:space="preserve"> en el Archivo de Concentración, se deberá hacer entrega del Acta de Baja Documental emitida por el Comité de Selección Documental.”</w:t>
      </w:r>
    </w:p>
    <w:p w:rsidR="00A724E0" w:rsidRPr="00F13EBB" w:rsidRDefault="00A724E0" w:rsidP="00A724E0">
      <w:pPr>
        <w:spacing w:before="240" w:after="240" w:line="360" w:lineRule="auto"/>
        <w:jc w:val="both"/>
        <w:rPr>
          <w:rFonts w:ascii="Palatino Linotype" w:hAnsi="Palatino Linotype"/>
          <w:sz w:val="24"/>
          <w:szCs w:val="24"/>
        </w:rPr>
      </w:pPr>
      <w:r w:rsidRPr="00F13EBB">
        <w:rPr>
          <w:rFonts w:ascii="Palatino Linotype" w:hAnsi="Palatino Linotype"/>
          <w:sz w:val="24"/>
          <w:szCs w:val="24"/>
        </w:rPr>
        <w:t xml:space="preserve">Al respecto, es pertinente resaltar que la Ley de Transparencia y Acceso a la Información Pública vigente en la entidad, de ninguna forma contempla la entrega de una baja documental como lo ordenó la Ponencia </w:t>
      </w:r>
      <w:proofErr w:type="spellStart"/>
      <w:r w:rsidRPr="00F13EBB">
        <w:rPr>
          <w:rFonts w:ascii="Palatino Linotype" w:hAnsi="Palatino Linotype"/>
          <w:sz w:val="24"/>
          <w:szCs w:val="24"/>
        </w:rPr>
        <w:t>resolutora</w:t>
      </w:r>
      <w:proofErr w:type="spellEnd"/>
      <w:r w:rsidRPr="00F13EBB">
        <w:rPr>
          <w:rFonts w:ascii="Palatino Linotype" w:hAnsi="Palatino Linotype"/>
          <w:sz w:val="24"/>
          <w:szCs w:val="24"/>
        </w:rPr>
        <w:t xml:space="preserve">, toda vez que en caso de que la información peticionada no obre en los archivos del Sujeto Obligado, la Ley determina que se deberá elaborar una declaratoria de inexistencia, tal y como se </w:t>
      </w:r>
      <w:r w:rsidRPr="00F13EBB">
        <w:rPr>
          <w:rFonts w:ascii="Palatino Linotype" w:hAnsi="Palatino Linotype"/>
          <w:sz w:val="24"/>
          <w:szCs w:val="24"/>
        </w:rPr>
        <w:lastRenderedPageBreak/>
        <w:t xml:space="preserve">prevé en los artículos 19, tercer párrafo, 49, fracciones II y XIII;  169 y 170 de la Ley de Transparencia y Acceso a la Información Pública </w:t>
      </w:r>
      <w:proofErr w:type="spellStart"/>
      <w:r w:rsidRPr="00F13EBB">
        <w:rPr>
          <w:rFonts w:ascii="Palatino Linotype" w:hAnsi="Palatino Linotype"/>
          <w:sz w:val="24"/>
          <w:szCs w:val="24"/>
        </w:rPr>
        <w:t>supraindicada</w:t>
      </w:r>
      <w:proofErr w:type="spellEnd"/>
      <w:r w:rsidRPr="00F13EBB">
        <w:rPr>
          <w:rFonts w:ascii="Palatino Linotype" w:hAnsi="Palatino Linotype"/>
          <w:sz w:val="24"/>
          <w:szCs w:val="24"/>
        </w:rPr>
        <w:t xml:space="preserve">, que ordenan: </w:t>
      </w:r>
    </w:p>
    <w:p w:rsidR="00A724E0" w:rsidRPr="00F13EBB" w:rsidRDefault="00A724E0" w:rsidP="0085443A">
      <w:pPr>
        <w:spacing w:after="0" w:line="240" w:lineRule="auto"/>
        <w:ind w:left="851" w:right="990"/>
        <w:jc w:val="both"/>
        <w:rPr>
          <w:rFonts w:ascii="Palatino Linotype" w:hAnsi="Palatino Linotype"/>
          <w:i/>
          <w:szCs w:val="24"/>
        </w:rPr>
      </w:pPr>
      <w:r w:rsidRPr="00F13EBB">
        <w:rPr>
          <w:rFonts w:ascii="Palatino Linotype" w:hAnsi="Palatino Linotype"/>
          <w:i/>
          <w:szCs w:val="24"/>
        </w:rPr>
        <w:t>“</w:t>
      </w:r>
      <w:r w:rsidRPr="00F13EBB">
        <w:rPr>
          <w:rFonts w:ascii="Palatino Linotype" w:hAnsi="Palatino Linotype"/>
          <w:b/>
          <w:i/>
          <w:szCs w:val="24"/>
        </w:rPr>
        <w:t>Artículo 19.</w:t>
      </w:r>
      <w:r w:rsidRPr="00F13EBB">
        <w:rPr>
          <w:rFonts w:ascii="Palatino Linotype" w:hAnsi="Palatino Linotype"/>
          <w:i/>
          <w:szCs w:val="24"/>
        </w:rPr>
        <w:t xml:space="preserve"> (…)</w:t>
      </w:r>
    </w:p>
    <w:p w:rsidR="00A724E0" w:rsidRPr="00F13EBB" w:rsidRDefault="00A724E0" w:rsidP="0085443A">
      <w:pPr>
        <w:spacing w:after="0" w:line="240" w:lineRule="auto"/>
        <w:ind w:left="851" w:right="990"/>
        <w:jc w:val="both"/>
        <w:rPr>
          <w:rFonts w:ascii="Palatino Linotype" w:hAnsi="Palatino Linotype"/>
          <w:i/>
          <w:szCs w:val="24"/>
        </w:rPr>
      </w:pPr>
      <w:r w:rsidRPr="00F13EBB">
        <w:rPr>
          <w:rFonts w:ascii="Palatino Linotype" w:hAnsi="Palatino Linotype"/>
          <w:b/>
          <w:i/>
          <w:szCs w:val="24"/>
        </w:rPr>
        <w:t>Si el sujeto obligado, en el ejercicio de sus atribuciones, debía generar, poseer o administrar la información, pero ésta no se encuentra, el Comité de transparencia deberá emitir un acuerdo de inexistencia</w:t>
      </w:r>
      <w:r w:rsidRPr="00F13EBB">
        <w:rPr>
          <w:rFonts w:ascii="Palatino Linotype" w:hAnsi="Palatino Linotype"/>
          <w:i/>
          <w:szCs w:val="24"/>
        </w:rPr>
        <w:t>, debidamente fundado y motivado, en el que detalle las razones del por qué no obra en sus archivos.”</w:t>
      </w:r>
    </w:p>
    <w:p w:rsidR="00A724E0" w:rsidRPr="00F13EBB" w:rsidRDefault="00A724E0" w:rsidP="0085443A">
      <w:pPr>
        <w:spacing w:after="0" w:line="240" w:lineRule="auto"/>
        <w:ind w:left="851" w:right="990"/>
        <w:jc w:val="both"/>
        <w:rPr>
          <w:rFonts w:ascii="Palatino Linotype" w:hAnsi="Palatino Linotype"/>
          <w:i/>
          <w:szCs w:val="24"/>
        </w:rPr>
      </w:pPr>
      <w:r w:rsidRPr="00F13EBB">
        <w:rPr>
          <w:rFonts w:ascii="Palatino Linotype" w:hAnsi="Palatino Linotype"/>
          <w:i/>
          <w:szCs w:val="24"/>
        </w:rPr>
        <w:t>“</w:t>
      </w:r>
      <w:r w:rsidRPr="00F13EBB">
        <w:rPr>
          <w:rFonts w:ascii="Palatino Linotype" w:hAnsi="Palatino Linotype"/>
          <w:b/>
          <w:i/>
          <w:szCs w:val="24"/>
        </w:rPr>
        <w:t>Artículo 49.</w:t>
      </w:r>
      <w:r w:rsidRPr="00F13EBB">
        <w:rPr>
          <w:rFonts w:ascii="Palatino Linotype" w:hAnsi="Palatino Linotype"/>
          <w:i/>
          <w:szCs w:val="24"/>
        </w:rPr>
        <w:t xml:space="preserve"> </w:t>
      </w:r>
      <w:r w:rsidRPr="00F13EBB">
        <w:rPr>
          <w:rFonts w:ascii="Palatino Linotype" w:hAnsi="Palatino Linotype"/>
          <w:b/>
          <w:i/>
          <w:szCs w:val="24"/>
        </w:rPr>
        <w:t>Los Comités de Transparencia</w:t>
      </w:r>
      <w:r w:rsidRPr="00F13EBB">
        <w:rPr>
          <w:rFonts w:ascii="Palatino Linotype" w:hAnsi="Palatino Linotype"/>
          <w:i/>
          <w:szCs w:val="24"/>
        </w:rPr>
        <w:t xml:space="preserve"> tendrán las siguientes </w:t>
      </w:r>
      <w:r w:rsidRPr="00F13EBB">
        <w:rPr>
          <w:rFonts w:ascii="Palatino Linotype" w:hAnsi="Palatino Linotype"/>
          <w:b/>
          <w:i/>
          <w:szCs w:val="24"/>
        </w:rPr>
        <w:t>atribuciones</w:t>
      </w:r>
      <w:r w:rsidRPr="00F13EBB">
        <w:rPr>
          <w:rFonts w:ascii="Palatino Linotype" w:hAnsi="Palatino Linotype"/>
          <w:i/>
          <w:szCs w:val="24"/>
        </w:rPr>
        <w:t>:</w:t>
      </w:r>
    </w:p>
    <w:p w:rsidR="00A724E0" w:rsidRPr="00F13EBB" w:rsidRDefault="00A724E0" w:rsidP="0085443A">
      <w:pPr>
        <w:spacing w:after="0" w:line="240" w:lineRule="auto"/>
        <w:ind w:left="851" w:right="990"/>
        <w:jc w:val="both"/>
        <w:rPr>
          <w:rFonts w:ascii="Palatino Linotype" w:hAnsi="Palatino Linotype"/>
          <w:i/>
          <w:szCs w:val="24"/>
        </w:rPr>
      </w:pPr>
      <w:r w:rsidRPr="00F13EBB">
        <w:rPr>
          <w:rFonts w:ascii="Palatino Linotype" w:hAnsi="Palatino Linotype"/>
          <w:i/>
          <w:szCs w:val="24"/>
        </w:rPr>
        <w:t>…</w:t>
      </w:r>
    </w:p>
    <w:p w:rsidR="00A724E0" w:rsidRPr="00F13EBB" w:rsidRDefault="00A724E0" w:rsidP="0085443A">
      <w:pPr>
        <w:spacing w:after="0" w:line="240" w:lineRule="auto"/>
        <w:ind w:left="851" w:right="990"/>
        <w:jc w:val="both"/>
        <w:rPr>
          <w:rFonts w:ascii="Palatino Linotype" w:hAnsi="Palatino Linotype"/>
          <w:i/>
          <w:szCs w:val="24"/>
        </w:rPr>
      </w:pPr>
      <w:r w:rsidRPr="00F13EBB">
        <w:rPr>
          <w:rFonts w:ascii="Palatino Linotype" w:hAnsi="Palatino Linotype"/>
          <w:b/>
          <w:i/>
          <w:szCs w:val="24"/>
        </w:rPr>
        <w:t>II.</w:t>
      </w:r>
      <w:r w:rsidRPr="00F13EBB">
        <w:rPr>
          <w:rFonts w:ascii="Palatino Linotype" w:hAnsi="Palatino Linotype"/>
          <w:i/>
          <w:szCs w:val="24"/>
        </w:rPr>
        <w:t xml:space="preserve"> </w:t>
      </w:r>
      <w:r w:rsidRPr="00F13EBB">
        <w:rPr>
          <w:rFonts w:ascii="Palatino Linotype" w:hAnsi="Palatino Linotype"/>
          <w:b/>
          <w:i/>
          <w:szCs w:val="24"/>
        </w:rPr>
        <w:t>Confirmar, modificar o revocar las determinaciones que en materia de</w:t>
      </w:r>
      <w:r w:rsidRPr="00F13EBB">
        <w:rPr>
          <w:rFonts w:ascii="Palatino Linotype" w:hAnsi="Palatino Linotype"/>
          <w:i/>
          <w:szCs w:val="24"/>
        </w:rPr>
        <w:t xml:space="preserve"> ampliación del plazo de respuesta, clasificación de la información y </w:t>
      </w:r>
      <w:r w:rsidRPr="00F13EBB">
        <w:rPr>
          <w:rFonts w:ascii="Palatino Linotype" w:hAnsi="Palatino Linotype"/>
          <w:b/>
          <w:i/>
          <w:szCs w:val="24"/>
        </w:rPr>
        <w:t>declaración de inexistencia</w:t>
      </w:r>
      <w:r w:rsidRPr="00F13EBB">
        <w:rPr>
          <w:rFonts w:ascii="Palatino Linotype" w:hAnsi="Palatino Linotype"/>
          <w:i/>
          <w:szCs w:val="24"/>
        </w:rPr>
        <w:t xml:space="preserve"> o de incompetencia realicen los titulares de las áreas de los sujetos obligados;</w:t>
      </w:r>
    </w:p>
    <w:p w:rsidR="00A724E0" w:rsidRPr="00F13EBB" w:rsidRDefault="00A724E0" w:rsidP="0085443A">
      <w:pPr>
        <w:spacing w:after="0" w:line="240" w:lineRule="auto"/>
        <w:ind w:left="851" w:right="990"/>
        <w:jc w:val="both"/>
        <w:rPr>
          <w:rFonts w:ascii="Palatino Linotype" w:hAnsi="Palatino Linotype"/>
          <w:i/>
          <w:szCs w:val="24"/>
        </w:rPr>
      </w:pPr>
      <w:r w:rsidRPr="00F13EBB">
        <w:rPr>
          <w:rFonts w:ascii="Palatino Linotype" w:hAnsi="Palatino Linotype"/>
          <w:b/>
          <w:i/>
          <w:szCs w:val="24"/>
        </w:rPr>
        <w:t>…</w:t>
      </w:r>
    </w:p>
    <w:p w:rsidR="00A724E0" w:rsidRPr="00F13EBB" w:rsidRDefault="00A724E0" w:rsidP="0085443A">
      <w:pPr>
        <w:spacing w:after="0" w:line="240" w:lineRule="auto"/>
        <w:ind w:left="851" w:right="990"/>
        <w:jc w:val="both"/>
        <w:rPr>
          <w:rFonts w:ascii="Palatino Linotype" w:hAnsi="Palatino Linotype"/>
          <w:i/>
          <w:szCs w:val="24"/>
        </w:rPr>
      </w:pPr>
      <w:r w:rsidRPr="00F13EBB">
        <w:rPr>
          <w:rFonts w:ascii="Palatino Linotype" w:hAnsi="Palatino Linotype"/>
          <w:b/>
          <w:i/>
          <w:szCs w:val="24"/>
        </w:rPr>
        <w:t>XIII</w:t>
      </w:r>
      <w:r w:rsidRPr="00F13EBB">
        <w:rPr>
          <w:rFonts w:ascii="Palatino Linotype" w:hAnsi="Palatino Linotype"/>
          <w:i/>
          <w:szCs w:val="24"/>
        </w:rPr>
        <w:t xml:space="preserve">. </w:t>
      </w:r>
      <w:r w:rsidRPr="00F13EBB">
        <w:rPr>
          <w:rFonts w:ascii="Palatino Linotype" w:hAnsi="Palatino Linotype"/>
          <w:b/>
          <w:i/>
          <w:szCs w:val="24"/>
        </w:rPr>
        <w:t>Dictaminar las declaratorias de inexistencia de la información</w:t>
      </w:r>
      <w:r w:rsidRPr="00F13EBB">
        <w:rPr>
          <w:rFonts w:ascii="Palatino Linotype" w:hAnsi="Palatino Linotype"/>
          <w:i/>
          <w:szCs w:val="24"/>
        </w:rPr>
        <w:t xml:space="preserve"> que les remitan las unidades administrativas y resolver en consecuencia…”</w:t>
      </w:r>
    </w:p>
    <w:p w:rsidR="00A724E0" w:rsidRPr="00F13EBB" w:rsidRDefault="00A724E0" w:rsidP="0085443A">
      <w:pPr>
        <w:spacing w:after="0" w:line="240" w:lineRule="auto"/>
        <w:ind w:left="851" w:right="990"/>
        <w:jc w:val="both"/>
        <w:rPr>
          <w:rFonts w:ascii="Palatino Linotype" w:hAnsi="Palatino Linotype"/>
          <w:i/>
          <w:szCs w:val="24"/>
        </w:rPr>
      </w:pPr>
      <w:r w:rsidRPr="00F13EBB">
        <w:rPr>
          <w:rFonts w:ascii="Palatino Linotype" w:hAnsi="Palatino Linotype"/>
          <w:i/>
          <w:szCs w:val="24"/>
        </w:rPr>
        <w:t>“</w:t>
      </w:r>
      <w:r w:rsidRPr="00F13EBB">
        <w:rPr>
          <w:rFonts w:ascii="Palatino Linotype" w:hAnsi="Palatino Linotype"/>
          <w:b/>
          <w:i/>
          <w:szCs w:val="24"/>
        </w:rPr>
        <w:t>Artículo 169</w:t>
      </w:r>
      <w:r w:rsidRPr="00F13EBB">
        <w:rPr>
          <w:rFonts w:ascii="Palatino Linotype" w:hAnsi="Palatino Linotype"/>
          <w:i/>
          <w:szCs w:val="24"/>
        </w:rPr>
        <w:t xml:space="preserve">. </w:t>
      </w:r>
      <w:r w:rsidRPr="00F13EBB">
        <w:rPr>
          <w:rFonts w:ascii="Palatino Linotype" w:hAnsi="Palatino Linotype"/>
          <w:b/>
          <w:i/>
          <w:szCs w:val="24"/>
        </w:rPr>
        <w:t>Cuando la información no se encuentre en los archivos del sujeto obligado, el Comité de Transparencia</w:t>
      </w:r>
      <w:r w:rsidRPr="00F13EBB">
        <w:rPr>
          <w:rFonts w:ascii="Palatino Linotype" w:hAnsi="Palatino Linotype"/>
          <w:i/>
          <w:szCs w:val="24"/>
        </w:rPr>
        <w:t xml:space="preserve">: </w:t>
      </w:r>
    </w:p>
    <w:p w:rsidR="00A724E0" w:rsidRPr="00F13EBB" w:rsidRDefault="00A724E0" w:rsidP="0085443A">
      <w:pPr>
        <w:spacing w:after="0" w:line="240" w:lineRule="auto"/>
        <w:ind w:left="851" w:right="990"/>
        <w:jc w:val="both"/>
        <w:rPr>
          <w:rFonts w:ascii="Palatino Linotype" w:hAnsi="Palatino Linotype"/>
          <w:i/>
          <w:szCs w:val="24"/>
        </w:rPr>
      </w:pPr>
      <w:r w:rsidRPr="00F13EBB">
        <w:rPr>
          <w:rFonts w:ascii="Palatino Linotype" w:hAnsi="Palatino Linotype"/>
          <w:b/>
          <w:i/>
          <w:szCs w:val="24"/>
        </w:rPr>
        <w:t>I.</w:t>
      </w:r>
      <w:r w:rsidRPr="00F13EBB">
        <w:rPr>
          <w:rFonts w:ascii="Palatino Linotype" w:hAnsi="Palatino Linotype"/>
          <w:i/>
          <w:szCs w:val="24"/>
        </w:rPr>
        <w:t xml:space="preserve"> Analizará el caso y tomará las medidas necesarias para localizar la información; </w:t>
      </w:r>
    </w:p>
    <w:p w:rsidR="00A724E0" w:rsidRPr="00F13EBB" w:rsidRDefault="00A724E0" w:rsidP="0085443A">
      <w:pPr>
        <w:spacing w:after="0" w:line="240" w:lineRule="auto"/>
        <w:ind w:left="851" w:right="990"/>
        <w:jc w:val="both"/>
        <w:rPr>
          <w:rFonts w:ascii="Palatino Linotype" w:hAnsi="Palatino Linotype"/>
          <w:i/>
          <w:szCs w:val="24"/>
        </w:rPr>
      </w:pPr>
      <w:r w:rsidRPr="00F13EBB">
        <w:rPr>
          <w:rFonts w:ascii="Palatino Linotype" w:hAnsi="Palatino Linotype"/>
          <w:b/>
          <w:i/>
          <w:szCs w:val="24"/>
        </w:rPr>
        <w:t>II.</w:t>
      </w:r>
      <w:r w:rsidRPr="00F13EBB">
        <w:rPr>
          <w:rFonts w:ascii="Palatino Linotype" w:hAnsi="Palatino Linotype"/>
          <w:i/>
          <w:szCs w:val="24"/>
        </w:rPr>
        <w:t xml:space="preserve"> </w:t>
      </w:r>
      <w:r w:rsidRPr="00F13EBB">
        <w:rPr>
          <w:rFonts w:ascii="Palatino Linotype" w:hAnsi="Palatino Linotype"/>
          <w:b/>
          <w:i/>
          <w:szCs w:val="24"/>
        </w:rPr>
        <w:t>Expedirá una resolución que confirme la inexistencia del documento</w:t>
      </w:r>
      <w:r w:rsidRPr="00F13EBB">
        <w:rPr>
          <w:rFonts w:ascii="Palatino Linotype" w:hAnsi="Palatino Linotype"/>
          <w:i/>
          <w:szCs w:val="24"/>
        </w:rPr>
        <w:t xml:space="preserve">; </w:t>
      </w:r>
    </w:p>
    <w:p w:rsidR="00A724E0" w:rsidRPr="00F13EBB" w:rsidRDefault="00A724E0" w:rsidP="0085443A">
      <w:pPr>
        <w:spacing w:after="0" w:line="240" w:lineRule="auto"/>
        <w:ind w:left="851" w:right="990"/>
        <w:jc w:val="both"/>
        <w:rPr>
          <w:rFonts w:ascii="Palatino Linotype" w:hAnsi="Palatino Linotype"/>
          <w:i/>
          <w:szCs w:val="24"/>
        </w:rPr>
      </w:pPr>
      <w:r w:rsidRPr="00F13EBB">
        <w:rPr>
          <w:rFonts w:ascii="Palatino Linotype" w:hAnsi="Palatino Linotype"/>
          <w:b/>
          <w:i/>
          <w:szCs w:val="24"/>
        </w:rPr>
        <w:t>III</w:t>
      </w:r>
      <w:r w:rsidRPr="00F13EBB">
        <w:rPr>
          <w:rFonts w:ascii="Palatino Linotype" w:hAnsi="Palatino Linotype"/>
          <w:i/>
          <w:szCs w:val="24"/>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rsidR="00A724E0" w:rsidRPr="00F13EBB" w:rsidRDefault="00A724E0" w:rsidP="0085443A">
      <w:pPr>
        <w:spacing w:after="0" w:line="240" w:lineRule="auto"/>
        <w:ind w:left="851" w:right="990"/>
        <w:jc w:val="both"/>
        <w:rPr>
          <w:rFonts w:ascii="Palatino Linotype" w:hAnsi="Palatino Linotype"/>
          <w:i/>
          <w:szCs w:val="24"/>
        </w:rPr>
      </w:pPr>
      <w:r w:rsidRPr="00F13EBB">
        <w:rPr>
          <w:rFonts w:ascii="Palatino Linotype" w:hAnsi="Palatino Linotype"/>
          <w:b/>
          <w:i/>
          <w:szCs w:val="24"/>
        </w:rPr>
        <w:t>IV</w:t>
      </w:r>
      <w:r w:rsidRPr="00F13EBB">
        <w:rPr>
          <w:rFonts w:ascii="Palatino Linotype" w:hAnsi="Palatino Linotype"/>
          <w:i/>
          <w:szCs w:val="24"/>
        </w:rPr>
        <w:t xml:space="preserve">. Notificará al órgano interno de control o equivalente del sujeto obligado quien, en su caso, deberá iniciar el procedimiento de responsabilidad administrativa que corresponda. </w:t>
      </w:r>
    </w:p>
    <w:p w:rsidR="00A724E0" w:rsidRPr="00F13EBB" w:rsidRDefault="00A724E0" w:rsidP="0085443A">
      <w:pPr>
        <w:spacing w:after="0" w:line="240" w:lineRule="auto"/>
        <w:ind w:left="851" w:right="990"/>
        <w:jc w:val="both"/>
        <w:rPr>
          <w:rFonts w:ascii="Palatino Linotype" w:hAnsi="Palatino Linotype"/>
          <w:i/>
          <w:szCs w:val="24"/>
        </w:rPr>
      </w:pPr>
      <w:r w:rsidRPr="00F13EBB">
        <w:rPr>
          <w:rFonts w:ascii="Palatino Linotype" w:hAnsi="Palatino Linotype"/>
          <w:i/>
          <w:szCs w:val="24"/>
        </w:rPr>
        <w:lastRenderedPageBreak/>
        <w:t xml:space="preserve">La Unidad de Transparencia deberá notificarlo al solicitante por escrito, en un plazo que no exceda de quince días hábiles contados a partir del día siguiente a la presentación de la solicitud. </w:t>
      </w:r>
    </w:p>
    <w:p w:rsidR="00A724E0" w:rsidRPr="00F13EBB" w:rsidRDefault="00A724E0" w:rsidP="0085443A">
      <w:pPr>
        <w:spacing w:after="0" w:line="240" w:lineRule="auto"/>
        <w:ind w:left="851" w:right="990"/>
        <w:jc w:val="both"/>
        <w:rPr>
          <w:rFonts w:ascii="Palatino Linotype" w:hAnsi="Palatino Linotype"/>
          <w:i/>
          <w:szCs w:val="24"/>
        </w:rPr>
      </w:pPr>
      <w:r w:rsidRPr="00F13EBB">
        <w:rPr>
          <w:rFonts w:ascii="Palatino Linotype" w:hAnsi="Palatino Linotype"/>
          <w:i/>
          <w:szCs w:val="24"/>
        </w:rPr>
        <w:t>Este plazo podrá ampliarse hasta por otros siete días hábiles, siempre que existan razones para ello, debiendo notificarse por escrito al solicitante.”</w:t>
      </w:r>
    </w:p>
    <w:p w:rsidR="00A724E0" w:rsidRPr="00F13EBB" w:rsidRDefault="00A724E0" w:rsidP="0085443A">
      <w:pPr>
        <w:spacing w:after="0" w:line="240" w:lineRule="auto"/>
        <w:ind w:left="851" w:right="990"/>
        <w:jc w:val="both"/>
        <w:rPr>
          <w:rFonts w:ascii="Palatino Linotype" w:hAnsi="Palatino Linotype"/>
          <w:i/>
          <w:szCs w:val="24"/>
        </w:rPr>
      </w:pPr>
      <w:r w:rsidRPr="00F13EBB">
        <w:rPr>
          <w:rFonts w:ascii="Palatino Linotype" w:hAnsi="Palatino Linotype"/>
          <w:i/>
          <w:szCs w:val="24"/>
        </w:rPr>
        <w:t>“</w:t>
      </w:r>
      <w:r w:rsidRPr="00F13EBB">
        <w:rPr>
          <w:rFonts w:ascii="Palatino Linotype" w:hAnsi="Palatino Linotype"/>
          <w:b/>
          <w:i/>
          <w:szCs w:val="24"/>
        </w:rPr>
        <w:t>Artículo 170.</w:t>
      </w:r>
      <w:r w:rsidRPr="00F13EBB">
        <w:rPr>
          <w:rFonts w:ascii="Palatino Linotype" w:hAnsi="Palatino Linotype"/>
          <w:i/>
          <w:szCs w:val="24"/>
        </w:rPr>
        <w:t xml:space="preserve"> </w:t>
      </w:r>
      <w:r w:rsidRPr="00F13EBB">
        <w:rPr>
          <w:rFonts w:ascii="Palatino Linotype" w:hAnsi="Palatino Linotype"/>
          <w:b/>
          <w:i/>
          <w:szCs w:val="24"/>
        </w:rPr>
        <w:t>La resolución del Comité de Transparencia que confirme la inexistencia de la información solicitada contendrá los elementos mínimos</w:t>
      </w:r>
      <w:r w:rsidRPr="00F13EBB">
        <w:rPr>
          <w:rFonts w:ascii="Palatino Linotype" w:hAnsi="Palatino Linotype"/>
          <w:i/>
          <w:szCs w:val="24"/>
        </w:rPr>
        <w:t xml:space="preserve"> </w:t>
      </w:r>
      <w:r w:rsidRPr="00F13EBB">
        <w:rPr>
          <w:rFonts w:ascii="Palatino Linotype" w:hAnsi="Palatino Linotype"/>
          <w:b/>
          <w:i/>
          <w:szCs w:val="24"/>
        </w:rPr>
        <w:t>que permitan al solicitante tener la certeza de que se utilizó un criterio de búsqueda exhaustivo</w:t>
      </w:r>
      <w:r w:rsidRPr="00F13EBB">
        <w:rPr>
          <w:rFonts w:ascii="Palatino Linotype" w:hAnsi="Palatino Linotype"/>
          <w:i/>
          <w:szCs w:val="24"/>
        </w:rPr>
        <w:t>, además de señalar las circunstancias de tiempo, modo y lugar que generaron la existencia en cuestión y señalará al servidor público responsable de contar con la misma.”</w:t>
      </w:r>
    </w:p>
    <w:p w:rsidR="00A724E0" w:rsidRPr="00F13EBB" w:rsidRDefault="00A724E0" w:rsidP="00A724E0">
      <w:pPr>
        <w:spacing w:before="240" w:after="240" w:line="360" w:lineRule="auto"/>
        <w:jc w:val="both"/>
        <w:rPr>
          <w:rFonts w:ascii="Palatino Linotype" w:hAnsi="Palatino Linotype"/>
          <w:sz w:val="24"/>
          <w:szCs w:val="24"/>
        </w:rPr>
      </w:pPr>
      <w:r w:rsidRPr="00F13EBB">
        <w:rPr>
          <w:rFonts w:ascii="Palatino Linotype" w:hAnsi="Palatino Linotype"/>
          <w:sz w:val="24"/>
          <w:szCs w:val="24"/>
        </w:rPr>
        <w:t>En tal contexto, no se estima correcto contemplar  la declaratoria de inexistencia como una opción en el resolutivo de la resolución, en el caso de no localizar la baja documental.</w:t>
      </w:r>
    </w:p>
    <w:p w:rsidR="00A724E0" w:rsidRPr="00F13EBB" w:rsidRDefault="00A724E0" w:rsidP="00A724E0">
      <w:pPr>
        <w:spacing w:after="120" w:line="360" w:lineRule="auto"/>
        <w:ind w:right="49"/>
        <w:contextualSpacing/>
        <w:jc w:val="both"/>
        <w:rPr>
          <w:rFonts w:ascii="Palatino Linotype" w:eastAsia="MS Mincho" w:hAnsi="Palatino Linotype" w:cs="Times New Roman"/>
          <w:sz w:val="24"/>
          <w:szCs w:val="24"/>
          <w:lang w:val="es-ES_tradnl" w:eastAsia="es-ES"/>
        </w:rPr>
      </w:pPr>
      <w:r w:rsidRPr="00F13EBB">
        <w:rPr>
          <w:rFonts w:ascii="Palatino Linotype" w:hAnsi="Palatino Linotype"/>
          <w:sz w:val="24"/>
          <w:szCs w:val="24"/>
        </w:rPr>
        <w:t xml:space="preserve">Ello es así, ya que de acuerdo al CRITERIO 0003-11 </w:t>
      </w:r>
      <w:r w:rsidRPr="00F13EBB">
        <w:rPr>
          <w:rFonts w:ascii="Palatino Linotype" w:eastAsia="MS Mincho" w:hAnsi="Palatino Linotype" w:cs="Arial"/>
          <w:sz w:val="24"/>
          <w:szCs w:val="24"/>
          <w:lang w:val="es-ES_tradnl" w:eastAsia="es-ES"/>
        </w:rPr>
        <w:t xml:space="preserve">aprobado por el Pleno de este Órgano Garante en la sesión ordinaria de fecha 25 de agosto del año 2011, </w:t>
      </w:r>
      <w:r w:rsidRPr="00F13EBB">
        <w:rPr>
          <w:rFonts w:ascii="Palatino Linotype" w:hAnsi="Palatino Linotype"/>
          <w:sz w:val="24"/>
          <w:szCs w:val="24"/>
        </w:rPr>
        <w:t xml:space="preserve">de interpretación en el orden administrativo, emitido por este Órgano Garante, la inexistencia de la información en el derecho de acceso a la información pública, conlleva como supuestos: la existencia previa de la documentación y la falta posterior de la misma en los archivos del Sujeto Obligado, en otras palabras que la información se generó, administró o poseyó en el marco de sus atribuciones, pero no la conserva por distintas razones, como pudieran ser la destrucción o desaparición física, sustracción ilícita, baja documental o cualquier otra; un segundo supuesto es que el Sujeto Obligado debió generar, poseer o administrar la información, pero en incumplimiento a la norma no lo realizó, tal como lo establece el criterio </w:t>
      </w:r>
      <w:proofErr w:type="spellStart"/>
      <w:r w:rsidRPr="00F13EBB">
        <w:rPr>
          <w:rFonts w:ascii="Palatino Linotype" w:hAnsi="Palatino Linotype"/>
          <w:sz w:val="24"/>
          <w:szCs w:val="24"/>
        </w:rPr>
        <w:lastRenderedPageBreak/>
        <w:t>supraindicado</w:t>
      </w:r>
      <w:proofErr w:type="spellEnd"/>
      <w:r w:rsidRPr="00F13EBB">
        <w:rPr>
          <w:rFonts w:ascii="Palatino Linotype" w:hAnsi="Palatino Linotype"/>
          <w:sz w:val="24"/>
          <w:szCs w:val="24"/>
        </w:rPr>
        <w:t xml:space="preserve">, el cual </w:t>
      </w:r>
      <w:r w:rsidRPr="00F13EBB">
        <w:rPr>
          <w:rFonts w:ascii="Palatino Linotype" w:eastAsia="MS Mincho" w:hAnsi="Palatino Linotype" w:cs="Arial"/>
          <w:sz w:val="24"/>
          <w:szCs w:val="24"/>
          <w:lang w:val="es-ES_tradnl" w:eastAsia="es-ES"/>
        </w:rPr>
        <w:t>demuestran claramente el concepto de inexistencia y en qué circunstancias debe emitirse la declaratoria respectiva, como se transcribe a continuación:</w:t>
      </w:r>
    </w:p>
    <w:p w:rsidR="00A724E0" w:rsidRPr="00F13EBB" w:rsidRDefault="00A724E0" w:rsidP="0085443A">
      <w:pPr>
        <w:spacing w:after="0" w:line="240" w:lineRule="auto"/>
        <w:ind w:left="851" w:right="990"/>
        <w:jc w:val="both"/>
        <w:rPr>
          <w:rFonts w:ascii="Palatino Linotype" w:hAnsi="Palatino Linotype"/>
          <w:i/>
          <w:szCs w:val="24"/>
        </w:rPr>
      </w:pPr>
      <w:r w:rsidRPr="00F13EBB">
        <w:rPr>
          <w:rFonts w:ascii="Palatino Linotype" w:hAnsi="Palatino Linotype"/>
          <w:i/>
          <w:szCs w:val="24"/>
        </w:rPr>
        <w:t>“</w:t>
      </w:r>
      <w:r w:rsidRPr="00F13EBB">
        <w:rPr>
          <w:rFonts w:ascii="Palatino Linotype" w:hAnsi="Palatino Linotype"/>
          <w:b/>
          <w:i/>
          <w:szCs w:val="24"/>
        </w:rPr>
        <w:t>INEXISTENCIA, CONCEPTO DE, EN MATERIA DE TRANSPARENCIA</w:t>
      </w:r>
      <w:r w:rsidRPr="00F13EBB">
        <w:rPr>
          <w:rFonts w:ascii="Palatino Linotype" w:hAnsi="Palatino Linotype"/>
          <w:i/>
          <w:szCs w:val="24"/>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F13EBB">
        <w:rPr>
          <w:rFonts w:ascii="Palatino Linotype" w:hAnsi="Palatino Linotype"/>
          <w:b/>
          <w:i/>
          <w:szCs w:val="24"/>
        </w:rPr>
        <w:t>supuestos:</w:t>
      </w:r>
      <w:r w:rsidRPr="00F13EBB">
        <w:rPr>
          <w:rFonts w:ascii="Palatino Linotype" w:hAnsi="Palatino Linotype"/>
          <w:i/>
          <w:szCs w:val="24"/>
        </w:rPr>
        <w:t xml:space="preserve"> </w:t>
      </w:r>
    </w:p>
    <w:p w:rsidR="00A724E0" w:rsidRPr="00F13EBB" w:rsidRDefault="00A724E0" w:rsidP="0085443A">
      <w:pPr>
        <w:numPr>
          <w:ilvl w:val="0"/>
          <w:numId w:val="9"/>
        </w:numPr>
        <w:spacing w:after="0" w:line="240" w:lineRule="auto"/>
        <w:ind w:left="851" w:right="990" w:firstLine="0"/>
        <w:jc w:val="both"/>
        <w:rPr>
          <w:rFonts w:ascii="Palatino Linotype" w:hAnsi="Palatino Linotype"/>
          <w:b/>
          <w:i/>
          <w:szCs w:val="24"/>
        </w:rPr>
      </w:pPr>
      <w:r w:rsidRPr="00F13EBB">
        <w:rPr>
          <w:rFonts w:ascii="Palatino Linotype" w:hAnsi="Palatino Linotype"/>
          <w:b/>
          <w:i/>
          <w:szCs w:val="24"/>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rsidR="00A724E0" w:rsidRPr="00F13EBB" w:rsidRDefault="00A724E0" w:rsidP="0085443A">
      <w:pPr>
        <w:numPr>
          <w:ilvl w:val="0"/>
          <w:numId w:val="9"/>
        </w:numPr>
        <w:spacing w:after="0" w:line="240" w:lineRule="auto"/>
        <w:ind w:left="851" w:right="990" w:firstLine="0"/>
        <w:jc w:val="both"/>
        <w:rPr>
          <w:rFonts w:ascii="Palatino Linotype" w:hAnsi="Palatino Linotype"/>
          <w:i/>
          <w:szCs w:val="24"/>
        </w:rPr>
      </w:pPr>
      <w:r w:rsidRPr="00F13EBB">
        <w:rPr>
          <w:rFonts w:ascii="Palatino Linotype" w:hAnsi="Palatino Linotype"/>
          <w:i/>
          <w:szCs w:val="24"/>
        </w:rPr>
        <w:t xml:space="preserve">En los casos en que por las atribuciones conferidas al Sujeto Obligado éste debió generar, administrar o poseer la información, pero en incumplimiento a la normatividad respectiva no llevó a cabo </w:t>
      </w:r>
      <w:proofErr w:type="gramStart"/>
      <w:r w:rsidRPr="00F13EBB">
        <w:rPr>
          <w:rFonts w:ascii="Palatino Linotype" w:hAnsi="Palatino Linotype"/>
          <w:i/>
          <w:szCs w:val="24"/>
        </w:rPr>
        <w:t>ninguna</w:t>
      </w:r>
      <w:proofErr w:type="gramEnd"/>
      <w:r w:rsidRPr="00F13EBB">
        <w:rPr>
          <w:rFonts w:ascii="Palatino Linotype" w:hAnsi="Palatino Linotype"/>
          <w:i/>
          <w:szCs w:val="24"/>
        </w:rPr>
        <w:t xml:space="preserve"> de esas acciones. </w:t>
      </w:r>
    </w:p>
    <w:p w:rsidR="00A724E0" w:rsidRPr="00F13EBB" w:rsidRDefault="00A724E0" w:rsidP="0085443A">
      <w:pPr>
        <w:spacing w:after="0" w:line="240" w:lineRule="auto"/>
        <w:ind w:left="851" w:right="990"/>
        <w:jc w:val="both"/>
        <w:rPr>
          <w:rFonts w:ascii="Palatino Linotype" w:hAnsi="Palatino Linotype"/>
          <w:i/>
          <w:szCs w:val="24"/>
        </w:rPr>
      </w:pPr>
      <w:r w:rsidRPr="00F13EBB">
        <w:rPr>
          <w:rFonts w:ascii="Palatino Linotype" w:hAnsi="Palatino Linotype"/>
          <w:i/>
          <w:szCs w:val="24"/>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A724E0" w:rsidRPr="00F13EBB" w:rsidRDefault="00A724E0" w:rsidP="00A724E0">
      <w:pPr>
        <w:spacing w:before="240" w:after="240" w:line="360" w:lineRule="auto"/>
        <w:jc w:val="both"/>
        <w:rPr>
          <w:rFonts w:ascii="Palatino Linotype" w:hAnsi="Palatino Linotype"/>
          <w:sz w:val="24"/>
          <w:szCs w:val="24"/>
        </w:rPr>
      </w:pPr>
      <w:r w:rsidRPr="00F13EBB">
        <w:rPr>
          <w:rFonts w:ascii="Palatino Linotype" w:hAnsi="Palatino Linotype"/>
          <w:sz w:val="24"/>
          <w:szCs w:val="24"/>
        </w:rPr>
        <w:t xml:space="preserve">Es en el primero de los supuestos en los que en todo caso se encontraría el Sujeto Obligado, en razón de que implica que la información se generó, administró o poseyó derivado del ejercicio de sus atribuciones, sin embargo, ya no obra en sus archivos por distintas razones, mismas que deberán acreditarse y justificarse de manera motivada y fundada por el Sujeto Obligado. </w:t>
      </w:r>
    </w:p>
    <w:p w:rsidR="00A724E0" w:rsidRPr="00F13EBB" w:rsidRDefault="00A724E0" w:rsidP="00A724E0">
      <w:pPr>
        <w:spacing w:before="240" w:after="240" w:line="360" w:lineRule="auto"/>
        <w:jc w:val="both"/>
        <w:rPr>
          <w:rFonts w:ascii="Palatino Linotype" w:hAnsi="Palatino Linotype"/>
          <w:sz w:val="24"/>
          <w:szCs w:val="24"/>
        </w:rPr>
      </w:pPr>
      <w:r w:rsidRPr="00F13EBB">
        <w:rPr>
          <w:rFonts w:ascii="Palatino Linotype" w:hAnsi="Palatino Linotype"/>
          <w:sz w:val="24"/>
          <w:szCs w:val="24"/>
        </w:rPr>
        <w:lastRenderedPageBreak/>
        <w:t>De ahí la necesidad de emitir una declaración formal de inexistencia, tal y como lo contempla la Ley de Transparencia vigente en la entidad al referir que los Comités de Transparencia, como órgano superior en la materia, deberán emitir un acuerdo de inexistencia que confirme, modifique o revoque la misma</w:t>
      </w:r>
      <w:r w:rsidRPr="00F13EBB">
        <w:rPr>
          <w:rFonts w:ascii="Palatino Linotype" w:hAnsi="Palatino Linotype"/>
          <w:sz w:val="24"/>
          <w:szCs w:val="24"/>
          <w:vertAlign w:val="superscript"/>
        </w:rPr>
        <w:footnoteReference w:id="1"/>
      </w:r>
      <w:r w:rsidRPr="00F13EBB">
        <w:rPr>
          <w:rFonts w:ascii="Palatino Linotype" w:hAnsi="Palatino Linotype"/>
          <w:sz w:val="24"/>
          <w:szCs w:val="24"/>
        </w:rPr>
        <w:t>; subrayando que aquél en que se confirme la inexistencia deberá contener los elementos que generen certeza al solicitante de que se utilizó un criterio de búsqueda exhaustivo, pero además, que se señalen las circunstancias de tiempo modo y lugar que generaron la existencia.</w:t>
      </w:r>
    </w:p>
    <w:p w:rsidR="00A724E0" w:rsidRPr="00F13EBB" w:rsidRDefault="00A724E0" w:rsidP="00A724E0">
      <w:pPr>
        <w:spacing w:before="240" w:after="240" w:line="360" w:lineRule="auto"/>
        <w:jc w:val="both"/>
        <w:rPr>
          <w:rFonts w:ascii="Palatino Linotype" w:hAnsi="Palatino Linotype"/>
          <w:sz w:val="24"/>
          <w:szCs w:val="24"/>
        </w:rPr>
      </w:pPr>
      <w:r w:rsidRPr="00F13EBB">
        <w:rPr>
          <w:rFonts w:ascii="Palatino Linotype" w:hAnsi="Palatino Linotype"/>
          <w:sz w:val="24"/>
          <w:szCs w:val="24"/>
        </w:rPr>
        <w:t>En otras palabras, la declaración de inexistencia busca dar la certidumbre al solicitante de que se buscó la información pero también acreditando que se generó o administró y que ya no la posee en sus archivos.</w:t>
      </w:r>
    </w:p>
    <w:p w:rsidR="00A724E0" w:rsidRPr="00F13EBB" w:rsidRDefault="00A724E0" w:rsidP="00A724E0">
      <w:pPr>
        <w:spacing w:before="240" w:after="240" w:line="360" w:lineRule="auto"/>
        <w:jc w:val="both"/>
        <w:rPr>
          <w:rFonts w:ascii="Palatino Linotype" w:hAnsi="Palatino Linotype"/>
          <w:sz w:val="24"/>
          <w:szCs w:val="24"/>
        </w:rPr>
      </w:pPr>
      <w:r w:rsidRPr="00F13EBB">
        <w:rPr>
          <w:rFonts w:ascii="Palatino Linotype" w:hAnsi="Palatino Linotype"/>
          <w:sz w:val="24"/>
          <w:szCs w:val="24"/>
        </w:rPr>
        <w:t xml:space="preserve">Es como parte de eso último que se debe acreditar, donde pudiera entrar lo relativo a una baja documental, ya que el criterio de la inexistencia es claro al referir que la ausencia de la información puede ser por diversas causas; esto es, puede ser tanto una sustracción ilícita, una desaparición de la información, una destrucción física o –se insiste- una baja documental; luego entonces es evidente que ante la inexistencia de la información que se requiera, es necesario emitir la declaración de inexistencia de manera fundada y motivada, demostrando en el caso de que se tenga la certeza de que la información existió, la causa de su ausencia, que puede ser el documento del cual se desprenda que la misma desapareció, se sustrajo de manera ilícita, se </w:t>
      </w:r>
      <w:r w:rsidRPr="00F13EBB">
        <w:rPr>
          <w:rFonts w:ascii="Palatino Linotype" w:hAnsi="Palatino Linotype"/>
          <w:sz w:val="24"/>
          <w:szCs w:val="24"/>
        </w:rPr>
        <w:lastRenderedPageBreak/>
        <w:t>destruyó, fue dada de baja de los archivos del Sujeto Obligado incluso cualquier otra factible de ser argumentada; es decir, el documento que acredite la causa de la inexistencia.</w:t>
      </w:r>
      <w:r w:rsidRPr="00F13EBB">
        <w:rPr>
          <w:b/>
          <w:noProof/>
          <w:sz w:val="24"/>
          <w:szCs w:val="24"/>
          <w:lang w:eastAsia="es-MX"/>
        </w:rPr>
        <w:t xml:space="preserve"> </w:t>
      </w:r>
    </w:p>
    <w:p w:rsidR="00A724E0" w:rsidRPr="00F13EBB" w:rsidRDefault="00A724E0" w:rsidP="00A724E0">
      <w:pPr>
        <w:spacing w:before="240" w:after="240" w:line="360" w:lineRule="auto"/>
        <w:jc w:val="both"/>
        <w:rPr>
          <w:rFonts w:ascii="Palatino Linotype" w:hAnsi="Palatino Linotype"/>
          <w:sz w:val="24"/>
          <w:szCs w:val="24"/>
        </w:rPr>
      </w:pPr>
      <w:r w:rsidRPr="00F13EBB">
        <w:rPr>
          <w:rFonts w:ascii="Palatino Linotype" w:hAnsi="Palatino Linotype"/>
          <w:sz w:val="24"/>
          <w:szCs w:val="24"/>
        </w:rPr>
        <w:t xml:space="preserve">Sin que pudiera llegar a aceptarse o confundirse que con la entrega de alguno de los documentos que comprueben la causa de la inexistencia de la información, pueda ser entregado para argumentar la inexistencia en sus archivos, pues mientras se haya generado la información y ya no exista o se haya tenido que generar y no se hizo, el único documento válido y formal para enunciar la inexistencia de la información, es el acuerdo emitido por el respectivo Comité de Transparencia, por el que se confirme la declaración de inexistencia. </w:t>
      </w:r>
    </w:p>
    <w:p w:rsidR="00A724E0" w:rsidRPr="00F13EBB" w:rsidRDefault="00A724E0" w:rsidP="00A724E0">
      <w:pPr>
        <w:spacing w:before="120" w:line="360" w:lineRule="auto"/>
        <w:jc w:val="both"/>
        <w:rPr>
          <w:rFonts w:ascii="Palatino Linotype" w:hAnsi="Palatino Linotype"/>
          <w:sz w:val="24"/>
          <w:szCs w:val="24"/>
        </w:rPr>
      </w:pPr>
      <w:r w:rsidRPr="00F13EBB">
        <w:rPr>
          <w:rFonts w:ascii="Palatino Linotype" w:hAnsi="Palatino Linotype"/>
          <w:sz w:val="24"/>
          <w:szCs w:val="24"/>
        </w:rPr>
        <w:t xml:space="preserve">Lo anterior, son razones suficientes para la emisión y presentación del presente Voto Particular relacionado con la resolución del recurso de revisión referido. </w:t>
      </w:r>
    </w:p>
    <w:p w:rsidR="00A724E0" w:rsidRPr="00F13EBB" w:rsidRDefault="00A724E0" w:rsidP="00A724E0">
      <w:pPr>
        <w:spacing w:after="0" w:line="360" w:lineRule="auto"/>
        <w:jc w:val="both"/>
        <w:rPr>
          <w:rFonts w:ascii="Palatino Linotype" w:hAnsi="Palatino Linotype"/>
          <w:sz w:val="24"/>
          <w:szCs w:val="24"/>
        </w:rPr>
      </w:pPr>
    </w:p>
    <w:p w:rsidR="0085443A" w:rsidRPr="00F13EBB" w:rsidRDefault="0085443A" w:rsidP="00A724E0">
      <w:pPr>
        <w:spacing w:after="0" w:line="360" w:lineRule="auto"/>
        <w:jc w:val="both"/>
        <w:rPr>
          <w:rFonts w:ascii="Palatino Linotype" w:hAnsi="Palatino Linotype"/>
          <w:sz w:val="24"/>
          <w:szCs w:val="24"/>
        </w:rPr>
      </w:pPr>
    </w:p>
    <w:p w:rsidR="00A724E0" w:rsidRPr="00F13EBB" w:rsidRDefault="00A724E0" w:rsidP="00A724E0">
      <w:pPr>
        <w:spacing w:after="0" w:line="240" w:lineRule="auto"/>
        <w:jc w:val="center"/>
        <w:rPr>
          <w:rFonts w:ascii="Palatino Linotype" w:hAnsi="Palatino Linotype"/>
          <w:b/>
          <w:sz w:val="24"/>
          <w:szCs w:val="24"/>
        </w:rPr>
      </w:pPr>
    </w:p>
    <w:p w:rsidR="00A724E0" w:rsidRPr="00F13EBB" w:rsidRDefault="00A724E0" w:rsidP="00A724E0">
      <w:pPr>
        <w:spacing w:after="0" w:line="240" w:lineRule="auto"/>
        <w:jc w:val="center"/>
        <w:rPr>
          <w:rFonts w:ascii="Palatino Linotype" w:hAnsi="Palatino Linotype"/>
          <w:b/>
          <w:sz w:val="24"/>
          <w:szCs w:val="24"/>
        </w:rPr>
      </w:pPr>
    </w:p>
    <w:p w:rsidR="00A724E0" w:rsidRPr="00F13EBB" w:rsidRDefault="00A724E0" w:rsidP="00A724E0">
      <w:pPr>
        <w:spacing w:after="0" w:line="240" w:lineRule="auto"/>
        <w:jc w:val="center"/>
        <w:rPr>
          <w:rFonts w:ascii="Palatino Linotype" w:hAnsi="Palatino Linotype"/>
          <w:b/>
          <w:sz w:val="24"/>
          <w:szCs w:val="24"/>
        </w:rPr>
      </w:pPr>
      <w:r w:rsidRPr="00F13EBB">
        <w:rPr>
          <w:rFonts w:ascii="Palatino Linotype" w:hAnsi="Palatino Linotype"/>
          <w:b/>
          <w:sz w:val="24"/>
          <w:szCs w:val="24"/>
        </w:rPr>
        <w:t>Javier Martínez Cruz</w:t>
      </w:r>
    </w:p>
    <w:p w:rsidR="00A724E0" w:rsidRPr="00F13EBB" w:rsidRDefault="00A724E0" w:rsidP="00A724E0">
      <w:pPr>
        <w:spacing w:after="0" w:line="240" w:lineRule="auto"/>
        <w:jc w:val="center"/>
        <w:rPr>
          <w:rFonts w:ascii="Palatino Linotype" w:hAnsi="Palatino Linotype"/>
          <w:sz w:val="24"/>
          <w:szCs w:val="24"/>
        </w:rPr>
      </w:pPr>
      <w:r w:rsidRPr="00F13EBB">
        <w:rPr>
          <w:rFonts w:ascii="Palatino Linotype" w:hAnsi="Palatino Linotype"/>
          <w:sz w:val="24"/>
          <w:szCs w:val="24"/>
        </w:rPr>
        <w:t>Comisionado</w:t>
      </w:r>
    </w:p>
    <w:p w:rsidR="001434CB" w:rsidRPr="00F13EBB" w:rsidRDefault="000A6F95" w:rsidP="009B6315">
      <w:pPr>
        <w:spacing w:after="0" w:line="240" w:lineRule="auto"/>
        <w:jc w:val="center"/>
        <w:rPr>
          <w:rFonts w:ascii="Palatino Linotype" w:hAnsi="Palatino Linotype"/>
          <w:sz w:val="24"/>
          <w:szCs w:val="24"/>
        </w:rPr>
      </w:pPr>
      <w:r w:rsidRPr="00F13EBB">
        <w:rPr>
          <w:rFonts w:ascii="Palatino Linotype" w:hAnsi="Palatino Linotype"/>
          <w:sz w:val="24"/>
          <w:szCs w:val="24"/>
        </w:rPr>
        <w:t>(Rúbrica)</w:t>
      </w:r>
    </w:p>
    <w:p w:rsidR="00E64CD7" w:rsidRPr="00F13EBB" w:rsidRDefault="00E64CD7" w:rsidP="009B6315">
      <w:pPr>
        <w:spacing w:after="0" w:line="240" w:lineRule="auto"/>
        <w:jc w:val="center"/>
        <w:rPr>
          <w:rFonts w:ascii="Palatino Linotype" w:hAnsi="Palatino Linotype"/>
          <w:sz w:val="24"/>
          <w:szCs w:val="24"/>
        </w:rPr>
      </w:pPr>
    </w:p>
    <w:sectPr w:rsidR="00E64CD7" w:rsidRPr="00F13EBB" w:rsidSect="00115CE3">
      <w:headerReference w:type="even" r:id="rId9"/>
      <w:headerReference w:type="default" r:id="rId10"/>
      <w:footerReference w:type="default" r:id="rId11"/>
      <w:headerReference w:type="first" r:id="rId12"/>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A44" w:rsidRDefault="00A00A44" w:rsidP="00907451">
      <w:pPr>
        <w:spacing w:after="0" w:line="240" w:lineRule="auto"/>
      </w:pPr>
      <w:r>
        <w:separator/>
      </w:r>
    </w:p>
  </w:endnote>
  <w:endnote w:type="continuationSeparator" w:id="0">
    <w:p w:rsidR="00A00A44" w:rsidRDefault="00A00A44"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057319"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13EBB">
      <w:rPr>
        <w:rFonts w:ascii="Arial" w:hAnsi="Arial" w:cs="Arial"/>
        <w:b/>
        <w:bCs/>
        <w:noProof/>
        <w:sz w:val="20"/>
        <w:szCs w:val="20"/>
      </w:rPr>
      <w:t>9</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13EBB">
      <w:rPr>
        <w:rFonts w:ascii="Arial" w:hAnsi="Arial" w:cs="Arial"/>
        <w:b/>
        <w:bCs/>
        <w:noProof/>
        <w:sz w:val="20"/>
        <w:szCs w:val="20"/>
      </w:rPr>
      <w:t>9</w:t>
    </w:r>
    <w:r w:rsidRPr="00986599">
      <w:rPr>
        <w:rFonts w:ascii="Arial" w:hAnsi="Arial" w:cs="Arial"/>
        <w:b/>
        <w:bCs/>
        <w:sz w:val="20"/>
        <w:szCs w:val="20"/>
      </w:rPr>
      <w:fldChar w:fldCharType="end"/>
    </w:r>
  </w:p>
  <w:p w:rsidR="00D758BE" w:rsidRDefault="00A00A44"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A44" w:rsidRDefault="00A00A44" w:rsidP="00907451">
      <w:pPr>
        <w:spacing w:after="0" w:line="240" w:lineRule="auto"/>
      </w:pPr>
      <w:r>
        <w:separator/>
      </w:r>
    </w:p>
  </w:footnote>
  <w:footnote w:type="continuationSeparator" w:id="0">
    <w:p w:rsidR="00A00A44" w:rsidRDefault="00A00A44" w:rsidP="00907451">
      <w:pPr>
        <w:spacing w:after="0" w:line="240" w:lineRule="auto"/>
      </w:pPr>
      <w:r>
        <w:continuationSeparator/>
      </w:r>
    </w:p>
  </w:footnote>
  <w:footnote w:id="1">
    <w:p w:rsidR="00A724E0" w:rsidRPr="009B6315" w:rsidRDefault="00A724E0" w:rsidP="00A724E0">
      <w:pPr>
        <w:pStyle w:val="Textonotapie"/>
        <w:jc w:val="both"/>
        <w:rPr>
          <w:rFonts w:ascii="Palatino Linotype" w:hAnsi="Palatino Linotype"/>
          <w:sz w:val="16"/>
          <w:szCs w:val="16"/>
        </w:rPr>
      </w:pPr>
      <w:r w:rsidRPr="009B6315">
        <w:rPr>
          <w:rStyle w:val="Refdenotaalpie"/>
          <w:rFonts w:ascii="Palatino Linotype" w:hAnsi="Palatino Linotype"/>
          <w:sz w:val="16"/>
          <w:szCs w:val="16"/>
        </w:rPr>
        <w:footnoteRef/>
      </w:r>
      <w:r w:rsidRPr="009B6315">
        <w:rPr>
          <w:rFonts w:ascii="Palatino Linotype" w:hAnsi="Palatino Linotype"/>
          <w:sz w:val="16"/>
          <w:szCs w:val="16"/>
        </w:rPr>
        <w:t xml:space="preserve"> Ver artículos 19, tercer párrafo, 49, fracciones II y XIII;  169 y 170 de la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A00A4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2" o:spid="_x0000_s2050" type="#_x0000_t136" style="position:absolute;margin-left:0;margin-top:0;width:518.25pt;height:111.05pt;rotation:315;z-index:-251656192;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r w:rsidR="00057319">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Pr="000D4A99" w:rsidRDefault="00354268" w:rsidP="007263BB">
    <w:pPr>
      <w:pStyle w:val="Encabezado"/>
      <w:jc w:val="right"/>
      <w:rPr>
        <w:rFonts w:ascii="Arial" w:hAnsi="Arial" w:cs="Arial"/>
        <w:sz w:val="20"/>
        <w:szCs w:val="20"/>
      </w:rPr>
    </w:pPr>
    <w:r w:rsidRPr="000D4A99">
      <w:rPr>
        <w:noProof/>
        <w:lang w:val="es-MX" w:eastAsia="es-MX"/>
      </w:rPr>
      <w:drawing>
        <wp:anchor distT="0" distB="0" distL="114300" distR="114300" simplePos="0" relativeHeight="251664384" behindDoc="1" locked="0" layoutInCell="1" allowOverlap="1" wp14:anchorId="463E6050" wp14:editId="6201B57A">
          <wp:simplePos x="0" y="0"/>
          <wp:positionH relativeFrom="column">
            <wp:posOffset>-1087145</wp:posOffset>
          </wp:positionH>
          <wp:positionV relativeFrom="paragraph">
            <wp:posOffset>-449580</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D758BE" w:rsidRPr="000D4A99" w:rsidRDefault="00A00A44" w:rsidP="007263BB">
    <w:pPr>
      <w:pStyle w:val="Encabezado"/>
      <w:jc w:val="right"/>
      <w:rPr>
        <w:rFonts w:ascii="Arial" w:hAnsi="Arial"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3" o:spid="_x0000_s2049" type="#_x0000_t136" alt="OPINIÓN PARTICULAR" style="position:absolute;left:0;text-align:left;margin-left:0;margin-top:0;width:518.25pt;height:111.05pt;rotation:315;z-index:-251657216;mso-position-horizontal:center;mso-position-horizontal-relative:margin;mso-position-vertical:center;mso-position-vertical-relative:margin" o:allowincell="f" fillcolor="#c45911 [2405]" stroked="f">
          <v:fill opacity=".5"/>
          <v:textpath style="font-family:&quot;Calibri&quot;;font-size:1pt;font-weight:bold" string="VOTO PARTICULAR "/>
          <w10:wrap anchorx="margin" anchory="margin"/>
        </v:shape>
      </w:pict>
    </w:r>
  </w:p>
  <w:p w:rsidR="00D758BE" w:rsidRPr="000D4A99" w:rsidRDefault="00A00A44" w:rsidP="007263BB">
    <w:pPr>
      <w:pStyle w:val="Encabezado"/>
      <w:jc w:val="right"/>
      <w:rPr>
        <w:rFonts w:ascii="Arial" w:hAnsi="Arial" w:cs="Arial"/>
        <w:sz w:val="20"/>
        <w:szCs w:val="20"/>
      </w:rPr>
    </w:pPr>
  </w:p>
  <w:p w:rsidR="00706042" w:rsidRPr="000D4A99" w:rsidRDefault="005C0335" w:rsidP="007263BB">
    <w:pPr>
      <w:pStyle w:val="Encabezado"/>
      <w:jc w:val="right"/>
      <w:rPr>
        <w:rFonts w:ascii="Palatino Linotype" w:hAnsi="Palatino Linotype" w:cs="Arial"/>
        <w:b/>
        <w:sz w:val="20"/>
        <w:szCs w:val="20"/>
      </w:rPr>
    </w:pPr>
    <w:r>
      <w:rPr>
        <w:rFonts w:ascii="Palatino Linotype" w:hAnsi="Palatino Linotype" w:cs="Arial"/>
        <w:b/>
        <w:sz w:val="20"/>
        <w:szCs w:val="20"/>
      </w:rPr>
      <w:t>VOTO</w:t>
    </w:r>
    <w:r w:rsidR="0037761D" w:rsidRPr="000D4A99">
      <w:rPr>
        <w:rFonts w:ascii="Palatino Linotype" w:hAnsi="Palatino Linotype" w:cs="Arial"/>
        <w:b/>
        <w:sz w:val="20"/>
        <w:szCs w:val="20"/>
      </w:rPr>
      <w:t xml:space="preserve"> </w:t>
    </w:r>
    <w:r w:rsidR="00057319" w:rsidRPr="000D4A99">
      <w:rPr>
        <w:rFonts w:ascii="Palatino Linotype" w:hAnsi="Palatino Linotype" w:cs="Arial"/>
        <w:b/>
        <w:sz w:val="20"/>
        <w:szCs w:val="20"/>
      </w:rPr>
      <w:t xml:space="preserve">PARTICULAR </w:t>
    </w:r>
  </w:p>
  <w:p w:rsidR="00EE5FB0" w:rsidRPr="000D4A99" w:rsidRDefault="00057319" w:rsidP="00EE5FB0">
    <w:pPr>
      <w:pStyle w:val="Encabezado"/>
      <w:jc w:val="right"/>
      <w:rPr>
        <w:rFonts w:ascii="Palatino Linotype" w:hAnsi="Palatino Linotype" w:cs="Arial"/>
        <w:b/>
        <w:sz w:val="20"/>
        <w:szCs w:val="20"/>
      </w:rPr>
    </w:pPr>
    <w:r w:rsidRPr="000D4A99">
      <w:rPr>
        <w:rFonts w:ascii="Palatino Linotype" w:hAnsi="Palatino Linotype" w:cs="Arial"/>
        <w:b/>
        <w:sz w:val="20"/>
        <w:szCs w:val="20"/>
      </w:rPr>
      <w:t xml:space="preserve">RECURSO DE REVISIÓN </w:t>
    </w:r>
    <w:r w:rsidR="001521B7" w:rsidRPr="000D4A99">
      <w:rPr>
        <w:rFonts w:ascii="Palatino Linotype" w:hAnsi="Palatino Linotype" w:cs="Arial"/>
        <w:b/>
        <w:sz w:val="20"/>
        <w:szCs w:val="20"/>
      </w:rPr>
      <w:t>0</w:t>
    </w:r>
    <w:r w:rsidR="00BC65C0">
      <w:rPr>
        <w:rFonts w:ascii="Palatino Linotype" w:hAnsi="Palatino Linotype" w:cs="Arial"/>
        <w:b/>
        <w:sz w:val="20"/>
        <w:szCs w:val="20"/>
      </w:rPr>
      <w:t>4</w:t>
    </w:r>
    <w:r w:rsidR="0022336C">
      <w:rPr>
        <w:rFonts w:ascii="Palatino Linotype" w:hAnsi="Palatino Linotype" w:cs="Arial"/>
        <w:b/>
        <w:sz w:val="20"/>
        <w:szCs w:val="20"/>
      </w:rPr>
      <w:t>295</w:t>
    </w:r>
    <w:r w:rsidR="00CC52C1" w:rsidRPr="000D4A99">
      <w:rPr>
        <w:rFonts w:ascii="Palatino Linotype" w:hAnsi="Palatino Linotype" w:cs="Arial"/>
        <w:b/>
        <w:sz w:val="20"/>
        <w:szCs w:val="20"/>
      </w:rPr>
      <w:t>/INFOEM/IP/RR/2018</w:t>
    </w:r>
  </w:p>
  <w:p w:rsidR="00D758BE" w:rsidRPr="000D4A99" w:rsidRDefault="00A00A44" w:rsidP="007263BB">
    <w:pPr>
      <w:pStyle w:val="Encabezado"/>
      <w:jc w:val="right"/>
      <w:rPr>
        <w:rFonts w:ascii="Palatino Linotype" w:hAnsi="Palatino Linotype" w:cs="Arial"/>
        <w:sz w:val="20"/>
        <w:szCs w:val="20"/>
      </w:rPr>
    </w:pPr>
  </w:p>
  <w:p w:rsidR="00233AB2" w:rsidRPr="000D4A99" w:rsidRDefault="00A00A44" w:rsidP="007263BB">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A00A4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1" o:spid="_x0000_s2051" type="#_x0000_t136" style="position:absolute;margin-left:0;margin-top:0;width:518.25pt;height:111.05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FF0E93"/>
    <w:multiLevelType w:val="hybridMultilevel"/>
    <w:tmpl w:val="9F36479A"/>
    <w:lvl w:ilvl="0" w:tplc="5FBC4DF8">
      <w:start w:val="1"/>
      <w:numFmt w:val="decimal"/>
      <w:lvlText w:val="%1."/>
      <w:lvlJc w:val="left"/>
      <w:pPr>
        <w:ind w:left="644" w:hanging="360"/>
      </w:pPr>
      <w:rPr>
        <w:rFonts w:cs="Times New Roman" w:hint="default"/>
        <w:i/>
        <w:color w:val="000000"/>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18E65F23"/>
    <w:multiLevelType w:val="hybridMultilevel"/>
    <w:tmpl w:val="1C4E270A"/>
    <w:lvl w:ilvl="0" w:tplc="825EDF8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2E41F1"/>
    <w:multiLevelType w:val="hybridMultilevel"/>
    <w:tmpl w:val="AF1447E0"/>
    <w:lvl w:ilvl="0" w:tplc="16D06BF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59486A"/>
    <w:multiLevelType w:val="hybridMultilevel"/>
    <w:tmpl w:val="FC40C59A"/>
    <w:lvl w:ilvl="0" w:tplc="BE6CA600">
      <w:start w:val="1"/>
      <w:numFmt w:val="lowerLetter"/>
      <w:lvlText w:val="%1."/>
      <w:lvlJc w:val="left"/>
      <w:pPr>
        <w:ind w:left="720" w:hanging="36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5442D2"/>
    <w:multiLevelType w:val="hybridMultilevel"/>
    <w:tmpl w:val="E604D862"/>
    <w:lvl w:ilvl="0" w:tplc="6180010E">
      <w:start w:val="1"/>
      <w:numFmt w:val="lowerLetter"/>
      <w:lvlText w:val="%1."/>
      <w:lvlJc w:val="left"/>
      <w:pPr>
        <w:ind w:left="720" w:hanging="360"/>
      </w:pPr>
      <w:rPr>
        <w:rFonts w:cs="Times New Roman"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E04E48"/>
    <w:multiLevelType w:val="hybridMultilevel"/>
    <w:tmpl w:val="5F7A5282"/>
    <w:lvl w:ilvl="0" w:tplc="CC960A50">
      <w:start w:val="1"/>
      <w:numFmt w:val="decimal"/>
      <w:lvlText w:val="%1."/>
      <w:lvlJc w:val="left"/>
      <w:pPr>
        <w:ind w:left="785" w:hanging="360"/>
      </w:pPr>
      <w:rPr>
        <w:rFonts w:hint="default"/>
        <w:b w:val="0"/>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7" w15:restartNumberingAfterBreak="0">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317490"/>
    <w:multiLevelType w:val="hybridMultilevel"/>
    <w:tmpl w:val="BAE42F3E"/>
    <w:lvl w:ilvl="0" w:tplc="9BCE9BDC">
      <w:start w:val="1"/>
      <w:numFmt w:val="decimal"/>
      <w:lvlText w:val="%1."/>
      <w:lvlJc w:val="left"/>
      <w:pPr>
        <w:ind w:left="5180" w:hanging="360"/>
      </w:pPr>
      <w:rPr>
        <w:rFonts w:ascii="Palatino Linotype" w:hAnsi="Palatino Linotype" w:hint="default"/>
        <w:b/>
        <w:i w:val="0"/>
        <w:color w:val="000000" w:themeColor="text1"/>
        <w:sz w:val="24"/>
      </w:rPr>
    </w:lvl>
    <w:lvl w:ilvl="1" w:tplc="080A000F">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8F090E"/>
    <w:multiLevelType w:val="hybridMultilevel"/>
    <w:tmpl w:val="B0AC5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A05092B"/>
    <w:multiLevelType w:val="hybridMultilevel"/>
    <w:tmpl w:val="597C54DA"/>
    <w:lvl w:ilvl="0" w:tplc="E856C134">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1" w15:restartNumberingAfterBreak="0">
    <w:nsid w:val="3A2555E9"/>
    <w:multiLevelType w:val="hybridMultilevel"/>
    <w:tmpl w:val="F09639DA"/>
    <w:lvl w:ilvl="0" w:tplc="8C10BB0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405F43EE"/>
    <w:multiLevelType w:val="hybridMultilevel"/>
    <w:tmpl w:val="722ED02C"/>
    <w:lvl w:ilvl="0" w:tplc="BC5C951A">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435720F2"/>
    <w:multiLevelType w:val="hybridMultilevel"/>
    <w:tmpl w:val="3DFA0A80"/>
    <w:lvl w:ilvl="0" w:tplc="EC225550">
      <w:start w:val="27"/>
      <w:numFmt w:val="upperLetter"/>
      <w:lvlText w:val="%1."/>
      <w:lvlJc w:val="left"/>
      <w:pPr>
        <w:ind w:left="780" w:hanging="42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5"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EA302D0"/>
    <w:multiLevelType w:val="hybridMultilevel"/>
    <w:tmpl w:val="A6D270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3674B02"/>
    <w:multiLevelType w:val="hybridMultilevel"/>
    <w:tmpl w:val="DEB20C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2191FC0"/>
    <w:multiLevelType w:val="multilevel"/>
    <w:tmpl w:val="87728D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9"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632A63"/>
    <w:multiLevelType w:val="hybridMultilevel"/>
    <w:tmpl w:val="9FE6ECA6"/>
    <w:lvl w:ilvl="0" w:tplc="1278F77A">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6BF6200"/>
    <w:multiLevelType w:val="hybridMultilevel"/>
    <w:tmpl w:val="C0EE1108"/>
    <w:lvl w:ilvl="0" w:tplc="D1D8C164">
      <w:start w:val="5"/>
      <w:numFmt w:val="bullet"/>
      <w:lvlText w:val="-"/>
      <w:lvlJc w:val="left"/>
      <w:pPr>
        <w:ind w:left="1571" w:hanging="360"/>
      </w:pPr>
      <w:rPr>
        <w:rFonts w:ascii="Calibri" w:eastAsiaTheme="minorHAns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15:restartNumberingAfterBreak="0">
    <w:nsid w:val="7D9E68FC"/>
    <w:multiLevelType w:val="hybridMultilevel"/>
    <w:tmpl w:val="956236E0"/>
    <w:lvl w:ilvl="0" w:tplc="78386808">
      <w:start w:val="1"/>
      <w:numFmt w:val="decimal"/>
      <w:lvlText w:val="%1."/>
      <w:lvlJc w:val="left"/>
      <w:pPr>
        <w:ind w:left="720" w:hanging="360"/>
      </w:pPr>
      <w:rPr>
        <w:rFonts w:cs="Times New Roman"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20"/>
  </w:num>
  <w:num w:numId="3">
    <w:abstractNumId w:val="12"/>
  </w:num>
  <w:num w:numId="4">
    <w:abstractNumId w:val="8"/>
  </w:num>
  <w:num w:numId="5">
    <w:abstractNumId w:val="11"/>
  </w:num>
  <w:num w:numId="6">
    <w:abstractNumId w:val="10"/>
  </w:num>
  <w:num w:numId="7">
    <w:abstractNumId w:val="21"/>
  </w:num>
  <w:num w:numId="8">
    <w:abstractNumId w:val="5"/>
  </w:num>
  <w:num w:numId="9">
    <w:abstractNumId w:val="14"/>
  </w:num>
  <w:num w:numId="10">
    <w:abstractNumId w:val="19"/>
  </w:num>
  <w:num w:numId="11">
    <w:abstractNumId w:val="2"/>
  </w:num>
  <w:num w:numId="12">
    <w:abstractNumId w:val="9"/>
  </w:num>
  <w:num w:numId="13">
    <w:abstractNumId w:val="3"/>
  </w:num>
  <w:num w:numId="14">
    <w:abstractNumId w:val="6"/>
  </w:num>
  <w:num w:numId="15">
    <w:abstractNumId w:val="7"/>
  </w:num>
  <w:num w:numId="16">
    <w:abstractNumId w:val="1"/>
  </w:num>
  <w:num w:numId="17">
    <w:abstractNumId w:val="13"/>
  </w:num>
  <w:num w:numId="18">
    <w:abstractNumId w:val="4"/>
  </w:num>
  <w:num w:numId="19">
    <w:abstractNumId w:val="22"/>
  </w:num>
  <w:num w:numId="20">
    <w:abstractNumId w:val="17"/>
  </w:num>
  <w:num w:numId="21">
    <w:abstractNumId w:val="0"/>
  </w:num>
  <w:num w:numId="22">
    <w:abstractNumId w:val="18"/>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022E"/>
    <w:rsid w:val="000019AB"/>
    <w:rsid w:val="00013E83"/>
    <w:rsid w:val="0002132C"/>
    <w:rsid w:val="00022E70"/>
    <w:rsid w:val="000253CE"/>
    <w:rsid w:val="00030212"/>
    <w:rsid w:val="00030978"/>
    <w:rsid w:val="00031DFF"/>
    <w:rsid w:val="00032EE8"/>
    <w:rsid w:val="0004425D"/>
    <w:rsid w:val="00047E96"/>
    <w:rsid w:val="00051C17"/>
    <w:rsid w:val="000541C7"/>
    <w:rsid w:val="00057319"/>
    <w:rsid w:val="000607BA"/>
    <w:rsid w:val="000632F3"/>
    <w:rsid w:val="000740BF"/>
    <w:rsid w:val="000765ED"/>
    <w:rsid w:val="00094E58"/>
    <w:rsid w:val="00097795"/>
    <w:rsid w:val="000A05B3"/>
    <w:rsid w:val="000A0D71"/>
    <w:rsid w:val="000A2999"/>
    <w:rsid w:val="000A3415"/>
    <w:rsid w:val="000A52F5"/>
    <w:rsid w:val="000A6F95"/>
    <w:rsid w:val="000B6BF6"/>
    <w:rsid w:val="000C5051"/>
    <w:rsid w:val="000C7CAD"/>
    <w:rsid w:val="000D01A3"/>
    <w:rsid w:val="000D3316"/>
    <w:rsid w:val="000D4A99"/>
    <w:rsid w:val="000E2722"/>
    <w:rsid w:val="000E2D6C"/>
    <w:rsid w:val="000E478D"/>
    <w:rsid w:val="000F7243"/>
    <w:rsid w:val="00107497"/>
    <w:rsid w:val="001075B4"/>
    <w:rsid w:val="0012129B"/>
    <w:rsid w:val="001229EC"/>
    <w:rsid w:val="0013703B"/>
    <w:rsid w:val="00137981"/>
    <w:rsid w:val="00140C81"/>
    <w:rsid w:val="001412C3"/>
    <w:rsid w:val="001434CB"/>
    <w:rsid w:val="0014357D"/>
    <w:rsid w:val="00145DD2"/>
    <w:rsid w:val="0015034F"/>
    <w:rsid w:val="001521B7"/>
    <w:rsid w:val="00155046"/>
    <w:rsid w:val="00160340"/>
    <w:rsid w:val="0016187C"/>
    <w:rsid w:val="00172FD5"/>
    <w:rsid w:val="001753C9"/>
    <w:rsid w:val="0018108A"/>
    <w:rsid w:val="001822F4"/>
    <w:rsid w:val="0018742A"/>
    <w:rsid w:val="00187EA7"/>
    <w:rsid w:val="00190047"/>
    <w:rsid w:val="001A1AF7"/>
    <w:rsid w:val="001A3C29"/>
    <w:rsid w:val="001A5EE4"/>
    <w:rsid w:val="001A61D5"/>
    <w:rsid w:val="001A7C78"/>
    <w:rsid w:val="001B1A8B"/>
    <w:rsid w:val="001B271B"/>
    <w:rsid w:val="001B78B3"/>
    <w:rsid w:val="001C151C"/>
    <w:rsid w:val="001E6166"/>
    <w:rsid w:val="001F05C6"/>
    <w:rsid w:val="001F0F67"/>
    <w:rsid w:val="001F686D"/>
    <w:rsid w:val="002028A2"/>
    <w:rsid w:val="0020784D"/>
    <w:rsid w:val="00207AC4"/>
    <w:rsid w:val="00211214"/>
    <w:rsid w:val="00222414"/>
    <w:rsid w:val="0022336C"/>
    <w:rsid w:val="00235A94"/>
    <w:rsid w:val="00236E0D"/>
    <w:rsid w:val="0024109F"/>
    <w:rsid w:val="0024552B"/>
    <w:rsid w:val="0024628B"/>
    <w:rsid w:val="00251BD1"/>
    <w:rsid w:val="0027457F"/>
    <w:rsid w:val="00285275"/>
    <w:rsid w:val="002852F2"/>
    <w:rsid w:val="00285332"/>
    <w:rsid w:val="002901BE"/>
    <w:rsid w:val="00292935"/>
    <w:rsid w:val="00292D40"/>
    <w:rsid w:val="002A5ADD"/>
    <w:rsid w:val="002A6359"/>
    <w:rsid w:val="002B0D5A"/>
    <w:rsid w:val="002B3DD0"/>
    <w:rsid w:val="002C4AF8"/>
    <w:rsid w:val="002C66A0"/>
    <w:rsid w:val="002D7AFB"/>
    <w:rsid w:val="002E22EE"/>
    <w:rsid w:val="002E296C"/>
    <w:rsid w:val="002E7A77"/>
    <w:rsid w:val="002F1845"/>
    <w:rsid w:val="0030441B"/>
    <w:rsid w:val="0030480F"/>
    <w:rsid w:val="003210AF"/>
    <w:rsid w:val="00321A2A"/>
    <w:rsid w:val="003264C7"/>
    <w:rsid w:val="00351A58"/>
    <w:rsid w:val="00354268"/>
    <w:rsid w:val="0036408D"/>
    <w:rsid w:val="00366C14"/>
    <w:rsid w:val="00367D88"/>
    <w:rsid w:val="00372C5B"/>
    <w:rsid w:val="0037761D"/>
    <w:rsid w:val="003814C3"/>
    <w:rsid w:val="0038176F"/>
    <w:rsid w:val="00381E52"/>
    <w:rsid w:val="00384D6B"/>
    <w:rsid w:val="00386948"/>
    <w:rsid w:val="003A047A"/>
    <w:rsid w:val="003A1CE7"/>
    <w:rsid w:val="003A65E7"/>
    <w:rsid w:val="003B0E51"/>
    <w:rsid w:val="003B1C5F"/>
    <w:rsid w:val="003C500B"/>
    <w:rsid w:val="003C6FAF"/>
    <w:rsid w:val="003C7D1D"/>
    <w:rsid w:val="003D1840"/>
    <w:rsid w:val="003D3C9F"/>
    <w:rsid w:val="003E17CD"/>
    <w:rsid w:val="003F099D"/>
    <w:rsid w:val="00421A25"/>
    <w:rsid w:val="00425E2D"/>
    <w:rsid w:val="00426125"/>
    <w:rsid w:val="00426538"/>
    <w:rsid w:val="00426CF6"/>
    <w:rsid w:val="00454F02"/>
    <w:rsid w:val="0045617C"/>
    <w:rsid w:val="00456261"/>
    <w:rsid w:val="00456467"/>
    <w:rsid w:val="0046194D"/>
    <w:rsid w:val="00462B33"/>
    <w:rsid w:val="00463351"/>
    <w:rsid w:val="00465BA2"/>
    <w:rsid w:val="00471402"/>
    <w:rsid w:val="004734AF"/>
    <w:rsid w:val="0047687C"/>
    <w:rsid w:val="00477E5C"/>
    <w:rsid w:val="00484499"/>
    <w:rsid w:val="00485EF7"/>
    <w:rsid w:val="00487F0B"/>
    <w:rsid w:val="00493C61"/>
    <w:rsid w:val="00493D46"/>
    <w:rsid w:val="004A49E3"/>
    <w:rsid w:val="004C6162"/>
    <w:rsid w:val="004D0DF1"/>
    <w:rsid w:val="004D7369"/>
    <w:rsid w:val="004E4F84"/>
    <w:rsid w:val="0050476E"/>
    <w:rsid w:val="0050583D"/>
    <w:rsid w:val="00505F5A"/>
    <w:rsid w:val="0051202A"/>
    <w:rsid w:val="00532BF2"/>
    <w:rsid w:val="0053603A"/>
    <w:rsid w:val="00537B54"/>
    <w:rsid w:val="00541842"/>
    <w:rsid w:val="00543E3E"/>
    <w:rsid w:val="005549ED"/>
    <w:rsid w:val="00560182"/>
    <w:rsid w:val="00561B35"/>
    <w:rsid w:val="00564B13"/>
    <w:rsid w:val="00564E98"/>
    <w:rsid w:val="005676B4"/>
    <w:rsid w:val="005704BE"/>
    <w:rsid w:val="00575288"/>
    <w:rsid w:val="005771C4"/>
    <w:rsid w:val="005777C1"/>
    <w:rsid w:val="00583D84"/>
    <w:rsid w:val="005912EA"/>
    <w:rsid w:val="0059499A"/>
    <w:rsid w:val="00594E43"/>
    <w:rsid w:val="00597E5B"/>
    <w:rsid w:val="005B7C67"/>
    <w:rsid w:val="005C0335"/>
    <w:rsid w:val="005C4B15"/>
    <w:rsid w:val="005C5551"/>
    <w:rsid w:val="005D066B"/>
    <w:rsid w:val="005D2F2B"/>
    <w:rsid w:val="005D3C8B"/>
    <w:rsid w:val="005D511E"/>
    <w:rsid w:val="005E1ABD"/>
    <w:rsid w:val="005E2A98"/>
    <w:rsid w:val="005E341A"/>
    <w:rsid w:val="005E4F30"/>
    <w:rsid w:val="005E6819"/>
    <w:rsid w:val="005F4C0C"/>
    <w:rsid w:val="006003E9"/>
    <w:rsid w:val="006018C0"/>
    <w:rsid w:val="00602E67"/>
    <w:rsid w:val="00612F10"/>
    <w:rsid w:val="006214D7"/>
    <w:rsid w:val="00636643"/>
    <w:rsid w:val="00644A98"/>
    <w:rsid w:val="00650DC2"/>
    <w:rsid w:val="00654E74"/>
    <w:rsid w:val="006608AE"/>
    <w:rsid w:val="00662C8E"/>
    <w:rsid w:val="00664E75"/>
    <w:rsid w:val="00666987"/>
    <w:rsid w:val="006746D4"/>
    <w:rsid w:val="0067524F"/>
    <w:rsid w:val="006753CB"/>
    <w:rsid w:val="0067739E"/>
    <w:rsid w:val="00680B1C"/>
    <w:rsid w:val="00695A4C"/>
    <w:rsid w:val="006A06C7"/>
    <w:rsid w:val="006A142E"/>
    <w:rsid w:val="006A6AF4"/>
    <w:rsid w:val="006A78C8"/>
    <w:rsid w:val="006C34A1"/>
    <w:rsid w:val="006D19DE"/>
    <w:rsid w:val="006D2729"/>
    <w:rsid w:val="006D664D"/>
    <w:rsid w:val="006E048C"/>
    <w:rsid w:val="006F346D"/>
    <w:rsid w:val="0071380A"/>
    <w:rsid w:val="00713C13"/>
    <w:rsid w:val="00724A6A"/>
    <w:rsid w:val="00736A54"/>
    <w:rsid w:val="007378E4"/>
    <w:rsid w:val="007417CA"/>
    <w:rsid w:val="00741887"/>
    <w:rsid w:val="00741BBF"/>
    <w:rsid w:val="007439EA"/>
    <w:rsid w:val="00753DAA"/>
    <w:rsid w:val="007548FD"/>
    <w:rsid w:val="007573FA"/>
    <w:rsid w:val="007617F6"/>
    <w:rsid w:val="007617F8"/>
    <w:rsid w:val="00782B2A"/>
    <w:rsid w:val="007841E7"/>
    <w:rsid w:val="00785FF6"/>
    <w:rsid w:val="0078657F"/>
    <w:rsid w:val="007928CC"/>
    <w:rsid w:val="0079505E"/>
    <w:rsid w:val="007A50FE"/>
    <w:rsid w:val="007A7537"/>
    <w:rsid w:val="007B090C"/>
    <w:rsid w:val="007B6300"/>
    <w:rsid w:val="007B6EE5"/>
    <w:rsid w:val="007E01A8"/>
    <w:rsid w:val="007E12C1"/>
    <w:rsid w:val="007E3363"/>
    <w:rsid w:val="007E61A3"/>
    <w:rsid w:val="007F50DE"/>
    <w:rsid w:val="00802BE3"/>
    <w:rsid w:val="00813A52"/>
    <w:rsid w:val="00815C60"/>
    <w:rsid w:val="00816D9C"/>
    <w:rsid w:val="00817AA2"/>
    <w:rsid w:val="0082049B"/>
    <w:rsid w:val="00825F11"/>
    <w:rsid w:val="00842E38"/>
    <w:rsid w:val="00843E05"/>
    <w:rsid w:val="00845226"/>
    <w:rsid w:val="00846514"/>
    <w:rsid w:val="0085443A"/>
    <w:rsid w:val="00857C51"/>
    <w:rsid w:val="00892DF4"/>
    <w:rsid w:val="00897E24"/>
    <w:rsid w:val="008A261D"/>
    <w:rsid w:val="008A4206"/>
    <w:rsid w:val="008B2DB4"/>
    <w:rsid w:val="008B746A"/>
    <w:rsid w:val="008B7AC1"/>
    <w:rsid w:val="008C0960"/>
    <w:rsid w:val="008C3C27"/>
    <w:rsid w:val="008C4482"/>
    <w:rsid w:val="008D3594"/>
    <w:rsid w:val="008D3AF3"/>
    <w:rsid w:val="008E5CE9"/>
    <w:rsid w:val="00901529"/>
    <w:rsid w:val="0090418F"/>
    <w:rsid w:val="00906F65"/>
    <w:rsid w:val="00907451"/>
    <w:rsid w:val="009235BD"/>
    <w:rsid w:val="00923FC9"/>
    <w:rsid w:val="00927978"/>
    <w:rsid w:val="00931554"/>
    <w:rsid w:val="00933E46"/>
    <w:rsid w:val="00956DDA"/>
    <w:rsid w:val="00956FEF"/>
    <w:rsid w:val="009611D3"/>
    <w:rsid w:val="009672DF"/>
    <w:rsid w:val="00970F11"/>
    <w:rsid w:val="009727E4"/>
    <w:rsid w:val="0097465C"/>
    <w:rsid w:val="00980019"/>
    <w:rsid w:val="0098044D"/>
    <w:rsid w:val="00981A4C"/>
    <w:rsid w:val="0098633B"/>
    <w:rsid w:val="009874D7"/>
    <w:rsid w:val="00987EE4"/>
    <w:rsid w:val="00990C19"/>
    <w:rsid w:val="009A5E4A"/>
    <w:rsid w:val="009B34C4"/>
    <w:rsid w:val="009B6315"/>
    <w:rsid w:val="009C248D"/>
    <w:rsid w:val="009D3450"/>
    <w:rsid w:val="009D4A3C"/>
    <w:rsid w:val="009D6D92"/>
    <w:rsid w:val="009E35A5"/>
    <w:rsid w:val="009F607E"/>
    <w:rsid w:val="00A00A44"/>
    <w:rsid w:val="00A01E1E"/>
    <w:rsid w:val="00A1161D"/>
    <w:rsid w:val="00A21005"/>
    <w:rsid w:val="00A252F5"/>
    <w:rsid w:val="00A25348"/>
    <w:rsid w:val="00A27FDF"/>
    <w:rsid w:val="00A3122D"/>
    <w:rsid w:val="00A32D50"/>
    <w:rsid w:val="00A373E3"/>
    <w:rsid w:val="00A4417A"/>
    <w:rsid w:val="00A458B3"/>
    <w:rsid w:val="00A52755"/>
    <w:rsid w:val="00A53F8B"/>
    <w:rsid w:val="00A63C8F"/>
    <w:rsid w:val="00A65F94"/>
    <w:rsid w:val="00A724E0"/>
    <w:rsid w:val="00A768A1"/>
    <w:rsid w:val="00A76FCF"/>
    <w:rsid w:val="00A86F04"/>
    <w:rsid w:val="00AA3C76"/>
    <w:rsid w:val="00AA7BFF"/>
    <w:rsid w:val="00AB390A"/>
    <w:rsid w:val="00AB6037"/>
    <w:rsid w:val="00AB6B6C"/>
    <w:rsid w:val="00AC02BA"/>
    <w:rsid w:val="00AC1290"/>
    <w:rsid w:val="00AC1498"/>
    <w:rsid w:val="00AC42CC"/>
    <w:rsid w:val="00AD0389"/>
    <w:rsid w:val="00AD3F06"/>
    <w:rsid w:val="00AF0167"/>
    <w:rsid w:val="00AF71F9"/>
    <w:rsid w:val="00B02DEB"/>
    <w:rsid w:val="00B10325"/>
    <w:rsid w:val="00B17FB5"/>
    <w:rsid w:val="00B3748D"/>
    <w:rsid w:val="00B40A76"/>
    <w:rsid w:val="00B44B2B"/>
    <w:rsid w:val="00B547F4"/>
    <w:rsid w:val="00B56F36"/>
    <w:rsid w:val="00B616C5"/>
    <w:rsid w:val="00B62A7C"/>
    <w:rsid w:val="00B64C32"/>
    <w:rsid w:val="00B65A7C"/>
    <w:rsid w:val="00B7292F"/>
    <w:rsid w:val="00B759F4"/>
    <w:rsid w:val="00B77D36"/>
    <w:rsid w:val="00B82971"/>
    <w:rsid w:val="00B833A4"/>
    <w:rsid w:val="00B87693"/>
    <w:rsid w:val="00B91023"/>
    <w:rsid w:val="00B95ED4"/>
    <w:rsid w:val="00BA1253"/>
    <w:rsid w:val="00BA2DB4"/>
    <w:rsid w:val="00BA6C32"/>
    <w:rsid w:val="00BB0E89"/>
    <w:rsid w:val="00BB6363"/>
    <w:rsid w:val="00BC65C0"/>
    <w:rsid w:val="00BD05D3"/>
    <w:rsid w:val="00BD44F6"/>
    <w:rsid w:val="00BD5008"/>
    <w:rsid w:val="00BE3321"/>
    <w:rsid w:val="00BE3E12"/>
    <w:rsid w:val="00BF050D"/>
    <w:rsid w:val="00BF3883"/>
    <w:rsid w:val="00C06520"/>
    <w:rsid w:val="00C25892"/>
    <w:rsid w:val="00C31D4A"/>
    <w:rsid w:val="00C33E17"/>
    <w:rsid w:val="00C44E15"/>
    <w:rsid w:val="00C44E53"/>
    <w:rsid w:val="00C547E1"/>
    <w:rsid w:val="00C54C9E"/>
    <w:rsid w:val="00C618F4"/>
    <w:rsid w:val="00C64FDB"/>
    <w:rsid w:val="00C703EE"/>
    <w:rsid w:val="00C72D86"/>
    <w:rsid w:val="00C81402"/>
    <w:rsid w:val="00C82603"/>
    <w:rsid w:val="00C8565D"/>
    <w:rsid w:val="00C8657B"/>
    <w:rsid w:val="00C8785A"/>
    <w:rsid w:val="00C92F77"/>
    <w:rsid w:val="00CA530D"/>
    <w:rsid w:val="00CB2695"/>
    <w:rsid w:val="00CC52C1"/>
    <w:rsid w:val="00CC5CDC"/>
    <w:rsid w:val="00CC6720"/>
    <w:rsid w:val="00CC73FF"/>
    <w:rsid w:val="00CD012D"/>
    <w:rsid w:val="00CD4599"/>
    <w:rsid w:val="00CD6DC6"/>
    <w:rsid w:val="00CD78C9"/>
    <w:rsid w:val="00CE3C66"/>
    <w:rsid w:val="00CE4663"/>
    <w:rsid w:val="00CF29D2"/>
    <w:rsid w:val="00D004E1"/>
    <w:rsid w:val="00D01D44"/>
    <w:rsid w:val="00D01FE0"/>
    <w:rsid w:val="00D11A92"/>
    <w:rsid w:val="00D1444A"/>
    <w:rsid w:val="00D1782F"/>
    <w:rsid w:val="00D32CB4"/>
    <w:rsid w:val="00D32E4F"/>
    <w:rsid w:val="00D33D3B"/>
    <w:rsid w:val="00D44EC6"/>
    <w:rsid w:val="00D51FD0"/>
    <w:rsid w:val="00D531B5"/>
    <w:rsid w:val="00D57305"/>
    <w:rsid w:val="00D62B61"/>
    <w:rsid w:val="00D64026"/>
    <w:rsid w:val="00D7365D"/>
    <w:rsid w:val="00D75EDA"/>
    <w:rsid w:val="00D768C3"/>
    <w:rsid w:val="00D802CA"/>
    <w:rsid w:val="00D85E42"/>
    <w:rsid w:val="00D8616C"/>
    <w:rsid w:val="00D94D13"/>
    <w:rsid w:val="00DA3E75"/>
    <w:rsid w:val="00DB70E3"/>
    <w:rsid w:val="00DC752B"/>
    <w:rsid w:val="00DE76F8"/>
    <w:rsid w:val="00DF0E83"/>
    <w:rsid w:val="00DF4B33"/>
    <w:rsid w:val="00E01A6B"/>
    <w:rsid w:val="00E027CC"/>
    <w:rsid w:val="00E0353B"/>
    <w:rsid w:val="00E05786"/>
    <w:rsid w:val="00E07CB8"/>
    <w:rsid w:val="00E10DA2"/>
    <w:rsid w:val="00E11254"/>
    <w:rsid w:val="00E1638F"/>
    <w:rsid w:val="00E20299"/>
    <w:rsid w:val="00E27A82"/>
    <w:rsid w:val="00E30FFD"/>
    <w:rsid w:val="00E32765"/>
    <w:rsid w:val="00E35D2D"/>
    <w:rsid w:val="00E4263D"/>
    <w:rsid w:val="00E456D3"/>
    <w:rsid w:val="00E540C7"/>
    <w:rsid w:val="00E56B78"/>
    <w:rsid w:val="00E60006"/>
    <w:rsid w:val="00E64CD7"/>
    <w:rsid w:val="00E65333"/>
    <w:rsid w:val="00E708AD"/>
    <w:rsid w:val="00E74A3F"/>
    <w:rsid w:val="00E7639F"/>
    <w:rsid w:val="00E80BF0"/>
    <w:rsid w:val="00E812FA"/>
    <w:rsid w:val="00E920D4"/>
    <w:rsid w:val="00E92E78"/>
    <w:rsid w:val="00E93BA9"/>
    <w:rsid w:val="00E9675E"/>
    <w:rsid w:val="00E96D92"/>
    <w:rsid w:val="00EA400F"/>
    <w:rsid w:val="00EB1199"/>
    <w:rsid w:val="00EC2921"/>
    <w:rsid w:val="00ED32FF"/>
    <w:rsid w:val="00EF313E"/>
    <w:rsid w:val="00EF3FDC"/>
    <w:rsid w:val="00EF5CE9"/>
    <w:rsid w:val="00F03D80"/>
    <w:rsid w:val="00F07A44"/>
    <w:rsid w:val="00F13EBB"/>
    <w:rsid w:val="00F15F1B"/>
    <w:rsid w:val="00F16DFF"/>
    <w:rsid w:val="00F23E1D"/>
    <w:rsid w:val="00F340FC"/>
    <w:rsid w:val="00F3782B"/>
    <w:rsid w:val="00F40580"/>
    <w:rsid w:val="00F466F2"/>
    <w:rsid w:val="00F536FC"/>
    <w:rsid w:val="00F5508B"/>
    <w:rsid w:val="00F71053"/>
    <w:rsid w:val="00F72CAD"/>
    <w:rsid w:val="00F73B0E"/>
    <w:rsid w:val="00F746D9"/>
    <w:rsid w:val="00F76B05"/>
    <w:rsid w:val="00F938CE"/>
    <w:rsid w:val="00F97255"/>
    <w:rsid w:val="00FA1BEA"/>
    <w:rsid w:val="00FA506B"/>
    <w:rsid w:val="00FA581F"/>
    <w:rsid w:val="00FA7E32"/>
    <w:rsid w:val="00FB3D0E"/>
    <w:rsid w:val="00FC759F"/>
    <w:rsid w:val="00FC7EB3"/>
    <w:rsid w:val="00FD3336"/>
    <w:rsid w:val="00FD5DEC"/>
    <w:rsid w:val="00FD7D3E"/>
    <w:rsid w:val="00FE3B61"/>
    <w:rsid w:val="00FE5CCE"/>
    <w:rsid w:val="00FF1CE1"/>
    <w:rsid w:val="00FF5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paragraph" w:styleId="Ttulo1">
    <w:name w:val="heading 1"/>
    <w:basedOn w:val="Normal"/>
    <w:next w:val="Normal"/>
    <w:link w:val="Ttulo1Car"/>
    <w:uiPriority w:val="9"/>
    <w:qFormat/>
    <w:rsid w:val="000F7243"/>
    <w:pPr>
      <w:keepNext/>
      <w:numPr>
        <w:numId w:val="22"/>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0F7243"/>
    <w:pPr>
      <w:keepNext/>
      <w:numPr>
        <w:ilvl w:val="1"/>
        <w:numId w:val="22"/>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0F7243"/>
    <w:pPr>
      <w:keepNext/>
      <w:numPr>
        <w:ilvl w:val="2"/>
        <w:numId w:val="22"/>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0F7243"/>
    <w:pPr>
      <w:keepNext/>
      <w:numPr>
        <w:ilvl w:val="3"/>
        <w:numId w:val="22"/>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0F7243"/>
    <w:pPr>
      <w:numPr>
        <w:ilvl w:val="4"/>
        <w:numId w:val="22"/>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semiHidden/>
    <w:unhideWhenUsed/>
    <w:qFormat/>
    <w:rsid w:val="000F7243"/>
    <w:pPr>
      <w:numPr>
        <w:ilvl w:val="5"/>
        <w:numId w:val="22"/>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0F7243"/>
    <w:pPr>
      <w:numPr>
        <w:ilvl w:val="6"/>
        <w:numId w:val="22"/>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0F7243"/>
    <w:pPr>
      <w:numPr>
        <w:ilvl w:val="7"/>
        <w:numId w:val="22"/>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0F7243"/>
    <w:pPr>
      <w:numPr>
        <w:ilvl w:val="8"/>
        <w:numId w:val="22"/>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536F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536FC"/>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F536FC"/>
    <w:rPr>
      <w:vertAlign w:val="superscript"/>
    </w:rPr>
  </w:style>
  <w:style w:type="character" w:styleId="Hipervnculo">
    <w:name w:val="Hyperlink"/>
    <w:basedOn w:val="Fuentedeprrafopredeter"/>
    <w:uiPriority w:val="99"/>
    <w:unhideWhenUsed/>
    <w:rsid w:val="00990C19"/>
    <w:rPr>
      <w:color w:val="0563C1" w:themeColor="hyperlink"/>
      <w:u w:val="single"/>
    </w:rPr>
  </w:style>
  <w:style w:type="paragraph" w:customStyle="1" w:styleId="m6998332825776136505gmail-paragraph">
    <w:name w:val="m_6998332825776136505gmail-paragraph"/>
    <w:basedOn w:val="Normal"/>
    <w:rsid w:val="000253C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6998332825776136505gmail-msofootnotereference">
    <w:name w:val="m_6998332825776136505gmail-msofootnotereference"/>
    <w:basedOn w:val="Fuentedeprrafopredeter"/>
    <w:rsid w:val="000253CE"/>
  </w:style>
  <w:style w:type="paragraph" w:customStyle="1" w:styleId="m6998332825776136505gmail-msonormal">
    <w:name w:val="m_6998332825776136505gmail-msonormal"/>
    <w:basedOn w:val="Normal"/>
    <w:rsid w:val="000253C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0F7243"/>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0F7243"/>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0F7243"/>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0F7243"/>
    <w:rPr>
      <w:rFonts w:eastAsiaTheme="minorEastAsia"/>
      <w:b/>
      <w:bCs/>
      <w:sz w:val="28"/>
      <w:szCs w:val="28"/>
      <w:lang w:val="en-US"/>
    </w:rPr>
  </w:style>
  <w:style w:type="character" w:customStyle="1" w:styleId="Ttulo5Car">
    <w:name w:val="Título 5 Car"/>
    <w:basedOn w:val="Fuentedeprrafopredeter"/>
    <w:link w:val="Ttulo5"/>
    <w:uiPriority w:val="9"/>
    <w:semiHidden/>
    <w:rsid w:val="000F7243"/>
    <w:rPr>
      <w:rFonts w:eastAsiaTheme="minorEastAsia"/>
      <w:b/>
      <w:bCs/>
      <w:i/>
      <w:iCs/>
      <w:sz w:val="26"/>
      <w:szCs w:val="26"/>
      <w:lang w:val="en-US"/>
    </w:rPr>
  </w:style>
  <w:style w:type="character" w:customStyle="1" w:styleId="Ttulo6Car">
    <w:name w:val="Título 6 Car"/>
    <w:basedOn w:val="Fuentedeprrafopredeter"/>
    <w:link w:val="Ttulo6"/>
    <w:semiHidden/>
    <w:rsid w:val="000F7243"/>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0F7243"/>
    <w:rPr>
      <w:rFonts w:eastAsiaTheme="minorEastAsia"/>
      <w:sz w:val="24"/>
      <w:szCs w:val="24"/>
      <w:lang w:val="en-US"/>
    </w:rPr>
  </w:style>
  <w:style w:type="character" w:customStyle="1" w:styleId="Ttulo8Car">
    <w:name w:val="Título 8 Car"/>
    <w:basedOn w:val="Fuentedeprrafopredeter"/>
    <w:link w:val="Ttulo8"/>
    <w:uiPriority w:val="9"/>
    <w:semiHidden/>
    <w:rsid w:val="000F7243"/>
    <w:rPr>
      <w:rFonts w:eastAsiaTheme="minorEastAsia"/>
      <w:i/>
      <w:iCs/>
      <w:sz w:val="24"/>
      <w:szCs w:val="24"/>
      <w:lang w:val="en-US"/>
    </w:rPr>
  </w:style>
  <w:style w:type="character" w:customStyle="1" w:styleId="Ttulo9Car">
    <w:name w:val="Título 9 Car"/>
    <w:basedOn w:val="Fuentedeprrafopredeter"/>
    <w:link w:val="Ttulo9"/>
    <w:uiPriority w:val="9"/>
    <w:semiHidden/>
    <w:rsid w:val="000F7243"/>
    <w:rPr>
      <w:rFonts w:asciiTheme="majorHAnsi" w:eastAsiaTheme="majorEastAsia" w:hAnsiTheme="majorHAnsi" w:cstheme="majorBidi"/>
      <w:lang w:val="en-US"/>
    </w:rPr>
  </w:style>
  <w:style w:type="character" w:customStyle="1" w:styleId="apple-converted-space">
    <w:name w:val="apple-converted-space"/>
    <w:basedOn w:val="Fuentedeprrafopredeter"/>
    <w:rsid w:val="000F7243"/>
  </w:style>
  <w:style w:type="paragraph" w:customStyle="1" w:styleId="Listavistosa-nfasis11">
    <w:name w:val="Lista vistosa - Énfasis 11"/>
    <w:basedOn w:val="Normal"/>
    <w:link w:val="Listavistosa-nfasis1Car"/>
    <w:uiPriority w:val="34"/>
    <w:qFormat/>
    <w:rsid w:val="000F7243"/>
    <w:pPr>
      <w:spacing w:after="0" w:line="240" w:lineRule="auto"/>
      <w:ind w:left="708"/>
    </w:pPr>
    <w:rPr>
      <w:rFonts w:ascii="Times New Roman" w:eastAsia="Times New Roman" w:hAnsi="Times New Roman" w:cs="Times New Roman"/>
      <w:sz w:val="24"/>
      <w:szCs w:val="24"/>
      <w:lang w:val="es-ES" w:eastAsia="es-ES"/>
    </w:rPr>
  </w:style>
  <w:style w:type="character" w:customStyle="1" w:styleId="Listavistosa-nfasis1Car">
    <w:name w:val="Lista vistosa - Énfasis 1 Car"/>
    <w:link w:val="Listavistosa-nfasis11"/>
    <w:uiPriority w:val="34"/>
    <w:locked/>
    <w:rsid w:val="000F7243"/>
    <w:rPr>
      <w:rFonts w:ascii="Times New Roman" w:eastAsia="Times New Roman" w:hAnsi="Times New Roman" w:cs="Times New Roman"/>
      <w:sz w:val="24"/>
      <w:szCs w:val="24"/>
      <w:lang w:val="es-ES" w:eastAsia="es-ES"/>
    </w:rPr>
  </w:style>
  <w:style w:type="paragraph" w:customStyle="1" w:styleId="Texto">
    <w:name w:val="Texto"/>
    <w:basedOn w:val="Normal"/>
    <w:link w:val="TextoCar"/>
    <w:rsid w:val="000F7243"/>
    <w:pPr>
      <w:spacing w:after="101" w:line="216" w:lineRule="exact"/>
      <w:ind w:firstLine="288"/>
      <w:jc w:val="both"/>
    </w:pPr>
    <w:rPr>
      <w:rFonts w:ascii="Arial" w:eastAsia="Times New Roman" w:hAnsi="Arial" w:cs="Arial"/>
      <w:sz w:val="18"/>
      <w:szCs w:val="18"/>
      <w:lang w:eastAsia="es-ES"/>
    </w:rPr>
  </w:style>
  <w:style w:type="character" w:customStyle="1" w:styleId="apple-style-span">
    <w:name w:val="apple-style-span"/>
    <w:rsid w:val="000F7243"/>
  </w:style>
  <w:style w:type="character" w:styleId="Textoennegrita">
    <w:name w:val="Strong"/>
    <w:uiPriority w:val="22"/>
    <w:qFormat/>
    <w:rsid w:val="000F7243"/>
    <w:rPr>
      <w:b/>
      <w:bCs/>
    </w:rPr>
  </w:style>
  <w:style w:type="paragraph" w:styleId="Sinespaciado">
    <w:name w:val="No Spacing"/>
    <w:aliases w:val="Francesa"/>
    <w:link w:val="SinespaciadoCar"/>
    <w:uiPriority w:val="1"/>
    <w:qFormat/>
    <w:rsid w:val="000F7243"/>
    <w:pPr>
      <w:spacing w:after="0"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0F7243"/>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0F7243"/>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rsid w:val="000F724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0F7243"/>
    <w:rPr>
      <w:rFonts w:ascii="Courier New" w:eastAsia="Times New Roman" w:hAnsi="Courier New" w:cs="Times New Roman"/>
      <w:sz w:val="20"/>
      <w:szCs w:val="20"/>
      <w:lang w:val="es-ES" w:eastAsia="es-ES"/>
    </w:rPr>
  </w:style>
  <w:style w:type="paragraph" w:customStyle="1" w:styleId="Standard">
    <w:name w:val="Standard"/>
    <w:rsid w:val="000F7243"/>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0F7243"/>
    <w:rPr>
      <w:rFonts w:ascii="Arial" w:hAnsi="Arial" w:cs="Arial" w:hint="default"/>
      <w:b/>
      <w:bCs/>
      <w:sz w:val="18"/>
      <w:szCs w:val="18"/>
    </w:rPr>
  </w:style>
  <w:style w:type="paragraph" w:customStyle="1" w:styleId="Pa2">
    <w:name w:val="Pa2"/>
    <w:basedOn w:val="Normal"/>
    <w:next w:val="Normal"/>
    <w:uiPriority w:val="99"/>
    <w:rsid w:val="000F7243"/>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Default">
    <w:name w:val="Default"/>
    <w:rsid w:val="000F7243"/>
    <w:pPr>
      <w:autoSpaceDE w:val="0"/>
      <w:autoSpaceDN w:val="0"/>
      <w:adjustRightInd w:val="0"/>
      <w:spacing w:after="0" w:line="240" w:lineRule="auto"/>
    </w:pPr>
    <w:rPr>
      <w:rFonts w:ascii="Arial" w:hAnsi="Arial" w:cs="Arial"/>
      <w:color w:val="000000"/>
      <w:sz w:val="24"/>
      <w:szCs w:val="24"/>
    </w:rPr>
  </w:style>
  <w:style w:type="paragraph" w:customStyle="1" w:styleId="q">
    <w:name w:val="q"/>
    <w:basedOn w:val="Normal"/>
    <w:rsid w:val="000F724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0F7243"/>
  </w:style>
  <w:style w:type="character" w:customStyle="1" w:styleId="b">
    <w:name w:val="b"/>
    <w:basedOn w:val="Fuentedeprrafopredeter"/>
    <w:rsid w:val="000F7243"/>
  </w:style>
  <w:style w:type="character" w:customStyle="1" w:styleId="k">
    <w:name w:val="k"/>
    <w:basedOn w:val="Fuentedeprrafopredeter"/>
    <w:rsid w:val="000F7243"/>
  </w:style>
  <w:style w:type="character" w:customStyle="1" w:styleId="h">
    <w:name w:val="h"/>
    <w:basedOn w:val="Fuentedeprrafopredeter"/>
    <w:rsid w:val="000F7243"/>
  </w:style>
  <w:style w:type="character" w:styleId="Hipervnculovisitado">
    <w:name w:val="FollowedHyperlink"/>
    <w:basedOn w:val="Fuentedeprrafopredeter"/>
    <w:uiPriority w:val="99"/>
    <w:semiHidden/>
    <w:unhideWhenUsed/>
    <w:rsid w:val="000F7243"/>
    <w:rPr>
      <w:color w:val="954F72" w:themeColor="followedHyperlink"/>
      <w:u w:val="single"/>
    </w:rPr>
  </w:style>
  <w:style w:type="character" w:styleId="CitaHTML">
    <w:name w:val="HTML Cite"/>
    <w:uiPriority w:val="99"/>
    <w:semiHidden/>
    <w:unhideWhenUsed/>
    <w:rsid w:val="000F7243"/>
    <w:rPr>
      <w:i/>
      <w:iCs/>
    </w:rPr>
  </w:style>
  <w:style w:type="character" w:customStyle="1" w:styleId="SinespaciadoCar">
    <w:name w:val="Sin espaciado Car"/>
    <w:aliases w:val="Francesa Car"/>
    <w:link w:val="Sinespaciado"/>
    <w:uiPriority w:val="1"/>
    <w:locked/>
    <w:rsid w:val="000F7243"/>
    <w:rPr>
      <w:rFonts w:ascii="Times New Roman" w:eastAsia="Times New Roman" w:hAnsi="Times New Roman" w:cs="Times New Roman"/>
      <w:sz w:val="24"/>
      <w:szCs w:val="24"/>
      <w:lang w:eastAsia="es-ES"/>
    </w:rPr>
  </w:style>
  <w:style w:type="character" w:customStyle="1" w:styleId="medium">
    <w:name w:val="medium"/>
    <w:basedOn w:val="Fuentedeprrafopredeter"/>
    <w:rsid w:val="000F7243"/>
  </w:style>
  <w:style w:type="table" w:styleId="Tablaconcuadrcula">
    <w:name w:val="Table Grid"/>
    <w:basedOn w:val="Tablanormal"/>
    <w:uiPriority w:val="59"/>
    <w:rsid w:val="000F7243"/>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0F7243"/>
  </w:style>
  <w:style w:type="character" w:customStyle="1" w:styleId="titulorubrolgt">
    <w:name w:val="titulorubrolgt"/>
    <w:basedOn w:val="Fuentedeprrafopredeter"/>
    <w:rsid w:val="000F7243"/>
  </w:style>
  <w:style w:type="character" w:customStyle="1" w:styleId="ctr">
    <w:name w:val="ctr"/>
    <w:basedOn w:val="Fuentedeprrafopredeter"/>
    <w:rsid w:val="000F7243"/>
  </w:style>
  <w:style w:type="paragraph" w:styleId="Textonotaalfinal">
    <w:name w:val="endnote text"/>
    <w:basedOn w:val="Normal"/>
    <w:link w:val="TextonotaalfinalCar"/>
    <w:uiPriority w:val="99"/>
    <w:semiHidden/>
    <w:unhideWhenUsed/>
    <w:rsid w:val="000F7243"/>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uiPriority w:val="99"/>
    <w:semiHidden/>
    <w:rsid w:val="000F7243"/>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F7243"/>
    <w:rPr>
      <w:vertAlign w:val="superscript"/>
    </w:rPr>
  </w:style>
  <w:style w:type="character" w:customStyle="1" w:styleId="A1">
    <w:name w:val="A1"/>
    <w:uiPriority w:val="99"/>
    <w:rsid w:val="000F7243"/>
    <w:rPr>
      <w:rFonts w:ascii="Myriad Pro" w:hAnsi="Myriad Pro" w:cs="Myriad Pro" w:hint="default"/>
      <w:color w:val="000000"/>
      <w:sz w:val="22"/>
      <w:szCs w:val="22"/>
    </w:rPr>
  </w:style>
  <w:style w:type="paragraph" w:customStyle="1" w:styleId="Pa9">
    <w:name w:val="Pa9"/>
    <w:basedOn w:val="Normal"/>
    <w:next w:val="Normal"/>
    <w:uiPriority w:val="99"/>
    <w:rsid w:val="000F7243"/>
    <w:pPr>
      <w:autoSpaceDE w:val="0"/>
      <w:autoSpaceDN w:val="0"/>
      <w:adjustRightInd w:val="0"/>
      <w:spacing w:after="0" w:line="241" w:lineRule="atLeast"/>
    </w:pPr>
    <w:rPr>
      <w:rFonts w:ascii="Myriad Pro" w:hAnsi="Myriad Pro"/>
      <w:sz w:val="24"/>
      <w:szCs w:val="24"/>
    </w:rPr>
  </w:style>
  <w:style w:type="paragraph" w:customStyle="1" w:styleId="Pa5">
    <w:name w:val="Pa5"/>
    <w:basedOn w:val="Normal"/>
    <w:next w:val="Normal"/>
    <w:uiPriority w:val="99"/>
    <w:rsid w:val="000F7243"/>
    <w:pPr>
      <w:autoSpaceDE w:val="0"/>
      <w:autoSpaceDN w:val="0"/>
      <w:adjustRightInd w:val="0"/>
      <w:spacing w:after="0" w:line="201" w:lineRule="atLeast"/>
    </w:pPr>
    <w:rPr>
      <w:rFonts w:ascii="Myriad Pro" w:hAnsi="Myriad Pro"/>
      <w:sz w:val="24"/>
      <w:szCs w:val="24"/>
    </w:rPr>
  </w:style>
  <w:style w:type="paragraph" w:customStyle="1" w:styleId="m5127500252372250437gmail-paragraph">
    <w:name w:val="m_5127500252372250437gmail-paragraph"/>
    <w:basedOn w:val="Normal"/>
    <w:rsid w:val="000F724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mbrefraccder">
    <w:name w:val="nombrefraccder"/>
    <w:basedOn w:val="Fuentedeprrafopredeter"/>
    <w:rsid w:val="000F7243"/>
  </w:style>
  <w:style w:type="character" w:customStyle="1" w:styleId="numberfraccder">
    <w:name w:val="numberfraccder"/>
    <w:basedOn w:val="Fuentedeprrafopredeter"/>
    <w:rsid w:val="000F7243"/>
  </w:style>
  <w:style w:type="character" w:customStyle="1" w:styleId="TextoCar">
    <w:name w:val="Texto Car"/>
    <w:link w:val="Texto"/>
    <w:locked/>
    <w:rsid w:val="000F7243"/>
    <w:rPr>
      <w:rFonts w:ascii="Arial" w:eastAsia="Times New Roman" w:hAnsi="Arial" w:cs="Arial"/>
      <w:sz w:val="18"/>
      <w:szCs w:val="18"/>
      <w:lang w:eastAsia="es-ES"/>
    </w:rPr>
  </w:style>
  <w:style w:type="character" w:styleId="nfasis">
    <w:name w:val="Emphasis"/>
    <w:basedOn w:val="Fuentedeprrafopredeter"/>
    <w:uiPriority w:val="20"/>
    <w:qFormat/>
    <w:rsid w:val="000F7243"/>
    <w:rPr>
      <w:i/>
      <w:iCs/>
    </w:rPr>
  </w:style>
  <w:style w:type="character" w:customStyle="1" w:styleId="normaltextrun">
    <w:name w:val="normaltextrun"/>
    <w:basedOn w:val="Fuentedeprrafopredeter"/>
    <w:rsid w:val="000F7243"/>
  </w:style>
  <w:style w:type="character" w:customStyle="1" w:styleId="m5127500252372250437gmail-normaltextrun">
    <w:name w:val="m_5127500252372250437gmail-normaltextrun"/>
    <w:basedOn w:val="Fuentedeprrafopredeter"/>
    <w:rsid w:val="000F7243"/>
  </w:style>
  <w:style w:type="paragraph" w:customStyle="1" w:styleId="m-60081275284358516gmail-msolistparagraph">
    <w:name w:val="m_-60081275284358516gmail-msolistparagraph"/>
    <w:basedOn w:val="Normal"/>
    <w:rsid w:val="000F724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ANOTACION">
    <w:name w:val="ANOTACION"/>
    <w:basedOn w:val="Normal"/>
    <w:link w:val="ANOTACIONCar"/>
    <w:rsid w:val="000F7243"/>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0F7243"/>
    <w:rPr>
      <w:rFonts w:ascii="Times New Roman" w:eastAsia="Times New Roman" w:hAnsi="Times New Roman" w:cs="Times New Roman"/>
      <w:b/>
      <w:sz w:val="1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32800">
      <w:bodyDiv w:val="1"/>
      <w:marLeft w:val="0"/>
      <w:marRight w:val="0"/>
      <w:marTop w:val="0"/>
      <w:marBottom w:val="0"/>
      <w:divBdr>
        <w:top w:val="none" w:sz="0" w:space="0" w:color="auto"/>
        <w:left w:val="none" w:sz="0" w:space="0" w:color="auto"/>
        <w:bottom w:val="none" w:sz="0" w:space="0" w:color="auto"/>
        <w:right w:val="none" w:sz="0" w:space="0" w:color="auto"/>
      </w:divBdr>
    </w:div>
    <w:div w:id="190535344">
      <w:bodyDiv w:val="1"/>
      <w:marLeft w:val="0"/>
      <w:marRight w:val="0"/>
      <w:marTop w:val="0"/>
      <w:marBottom w:val="0"/>
      <w:divBdr>
        <w:top w:val="none" w:sz="0" w:space="0" w:color="auto"/>
        <w:left w:val="none" w:sz="0" w:space="0" w:color="auto"/>
        <w:bottom w:val="none" w:sz="0" w:space="0" w:color="auto"/>
        <w:right w:val="none" w:sz="0" w:space="0" w:color="auto"/>
      </w:divBdr>
    </w:div>
    <w:div w:id="645672066">
      <w:bodyDiv w:val="1"/>
      <w:marLeft w:val="0"/>
      <w:marRight w:val="0"/>
      <w:marTop w:val="0"/>
      <w:marBottom w:val="0"/>
      <w:divBdr>
        <w:top w:val="none" w:sz="0" w:space="0" w:color="auto"/>
        <w:left w:val="none" w:sz="0" w:space="0" w:color="auto"/>
        <w:bottom w:val="none" w:sz="0" w:space="0" w:color="auto"/>
        <w:right w:val="none" w:sz="0" w:space="0" w:color="auto"/>
      </w:divBdr>
    </w:div>
    <w:div w:id="810826399">
      <w:bodyDiv w:val="1"/>
      <w:marLeft w:val="0"/>
      <w:marRight w:val="0"/>
      <w:marTop w:val="0"/>
      <w:marBottom w:val="0"/>
      <w:divBdr>
        <w:top w:val="none" w:sz="0" w:space="0" w:color="auto"/>
        <w:left w:val="none" w:sz="0" w:space="0" w:color="auto"/>
        <w:bottom w:val="none" w:sz="0" w:space="0" w:color="auto"/>
        <w:right w:val="none" w:sz="0" w:space="0" w:color="auto"/>
      </w:divBdr>
    </w:div>
    <w:div w:id="1509951003">
      <w:bodyDiv w:val="1"/>
      <w:marLeft w:val="0"/>
      <w:marRight w:val="0"/>
      <w:marTop w:val="0"/>
      <w:marBottom w:val="0"/>
      <w:divBdr>
        <w:top w:val="none" w:sz="0" w:space="0" w:color="auto"/>
        <w:left w:val="none" w:sz="0" w:space="0" w:color="auto"/>
        <w:bottom w:val="none" w:sz="0" w:space="0" w:color="auto"/>
        <w:right w:val="none" w:sz="0" w:space="0" w:color="auto"/>
      </w:divBdr>
    </w:div>
    <w:div w:id="172059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04567.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38E6E4F-675D-49D6-A826-98725CDBC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9</Pages>
  <Words>2254</Words>
  <Characters>12403</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2019-02-05T22:46:00Z</cp:lastPrinted>
  <dcterms:created xsi:type="dcterms:W3CDTF">2019-02-05T16:20:00Z</dcterms:created>
  <dcterms:modified xsi:type="dcterms:W3CDTF">2019-02-18T23:35:00Z</dcterms:modified>
</cp:coreProperties>
</file>